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1AE" w:rsidRPr="00B67D81" w:rsidRDefault="007E01AE" w:rsidP="007E01AE">
      <w:pPr>
        <w:pStyle w:val="Sous-titre"/>
        <w:jc w:val="center"/>
        <w:rPr>
          <w:rStyle w:val="Accentuationlgre"/>
          <w:b/>
          <w:color w:val="E7E6E6" w:themeColor="background2"/>
          <w:spacing w:val="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67D81">
        <w:rPr>
          <w:rStyle w:val="Accentuationlgre"/>
          <w:b/>
          <w:color w:val="E7E6E6" w:themeColor="background2"/>
          <w:spacing w:val="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Le programme de mathématiques du cycle </w:t>
      </w:r>
      <w:r>
        <w:rPr>
          <w:rStyle w:val="Accentuationlgre"/>
          <w:b/>
          <w:color w:val="E7E6E6" w:themeColor="background2"/>
          <w:spacing w:val="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w:t>
      </w:r>
      <w:r w:rsidRPr="00B67D81">
        <w:rPr>
          <w:rStyle w:val="Accentuationlgre"/>
          <w:b/>
          <w:color w:val="E7E6E6" w:themeColor="background2"/>
          <w:spacing w:val="0"/>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7E01AE" w:rsidRDefault="007E01AE" w:rsidP="007E01AE"/>
    <w:tbl>
      <w:tblPr>
        <w:tblStyle w:val="Grilledutableau"/>
        <w:tblW w:w="15310" w:type="dxa"/>
        <w:tblInd w:w="-601" w:type="dxa"/>
        <w:tblLook w:val="04A0" w:firstRow="1" w:lastRow="0" w:firstColumn="1" w:lastColumn="0" w:noHBand="0" w:noVBand="1"/>
      </w:tblPr>
      <w:tblGrid>
        <w:gridCol w:w="709"/>
        <w:gridCol w:w="4252"/>
        <w:gridCol w:w="710"/>
        <w:gridCol w:w="3401"/>
        <w:gridCol w:w="283"/>
        <w:gridCol w:w="95"/>
        <w:gridCol w:w="1040"/>
        <w:gridCol w:w="425"/>
        <w:gridCol w:w="4395"/>
      </w:tblGrid>
      <w:tr w:rsidR="007E01AE" w:rsidRPr="00590B26" w:rsidTr="008C7D3B">
        <w:tc>
          <w:tcPr>
            <w:tcW w:w="709" w:type="dxa"/>
            <w:vAlign w:val="center"/>
          </w:tcPr>
          <w:p w:rsidR="007E01AE" w:rsidRDefault="007E01AE" w:rsidP="008C7D3B">
            <w:pPr>
              <w:jc w:val="center"/>
            </w:pPr>
          </w:p>
        </w:tc>
        <w:tc>
          <w:tcPr>
            <w:tcW w:w="4962" w:type="dxa"/>
            <w:gridSpan w:val="2"/>
            <w:tcBorders>
              <w:bottom w:val="single" w:sz="4" w:space="0" w:color="auto"/>
            </w:tcBorders>
            <w:vAlign w:val="center"/>
          </w:tcPr>
          <w:p w:rsidR="007E01AE" w:rsidRPr="00AB27EC" w:rsidRDefault="007E01AE" w:rsidP="008C7D3B">
            <w:pPr>
              <w:jc w:val="cente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Cm1</w:t>
            </w:r>
          </w:p>
        </w:tc>
        <w:tc>
          <w:tcPr>
            <w:tcW w:w="4819" w:type="dxa"/>
            <w:gridSpan w:val="4"/>
            <w:tcBorders>
              <w:bottom w:val="single" w:sz="4" w:space="0" w:color="auto"/>
            </w:tcBorders>
            <w:vAlign w:val="center"/>
          </w:tcPr>
          <w:p w:rsidR="007E01AE" w:rsidRPr="00AB27EC" w:rsidRDefault="007E01AE" w:rsidP="008C7D3B">
            <w:pPr>
              <w:jc w:val="cente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Cm2</w:t>
            </w:r>
          </w:p>
        </w:tc>
        <w:tc>
          <w:tcPr>
            <w:tcW w:w="4820" w:type="dxa"/>
            <w:gridSpan w:val="2"/>
            <w:tcBorders>
              <w:bottom w:val="single" w:sz="4" w:space="0" w:color="auto"/>
            </w:tcBorders>
            <w:vAlign w:val="center"/>
          </w:tcPr>
          <w:p w:rsidR="007E01AE" w:rsidRPr="00AB27EC" w:rsidRDefault="007E01AE" w:rsidP="008C7D3B">
            <w:pPr>
              <w:jc w:val="cente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w:t>
            </w:r>
            <w:r w:rsidRPr="008B54A0">
              <w:rPr>
                <w:b/>
                <w:color w:val="A5A5A5" w:themeColor="accent3"/>
                <w:sz w:val="44"/>
                <w:szCs w:val="44"/>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ème</w:t>
            </w:r>
            <w:r>
              <w:rPr>
                <w:b/>
                <w:color w:val="A5A5A5" w:themeColor="accent3"/>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tc>
      </w:tr>
      <w:tr w:rsidR="007E01AE" w:rsidRPr="003F5F11" w:rsidTr="008C7D3B">
        <w:trPr>
          <w:trHeight w:val="1284"/>
        </w:trPr>
        <w:tc>
          <w:tcPr>
            <w:tcW w:w="709" w:type="dxa"/>
            <w:vMerge w:val="restart"/>
            <w:textDirection w:val="btLr"/>
            <w:vAlign w:val="center"/>
          </w:tcPr>
          <w:p w:rsidR="007E01AE" w:rsidRPr="00EA47C4" w:rsidRDefault="007E01AE" w:rsidP="008C7D3B">
            <w:pPr>
              <w:ind w:left="113" w:right="113"/>
              <w:jc w:val="center"/>
              <w:rPr>
                <w:sz w:val="32"/>
                <w:szCs w:val="32"/>
              </w:rPr>
            </w:pPr>
            <w:r w:rsidRPr="00EA47C4">
              <w:rPr>
                <w:rFonts w:cs="Calibri"/>
                <w:b/>
                <w:color w:val="31849B"/>
                <w:sz w:val="32"/>
                <w:szCs w:val="32"/>
                <w:shd w:val="clear" w:color="auto" w:fill="FFFFFF"/>
              </w:rPr>
              <w:t>Thème A – Nombres et calculs</w:t>
            </w:r>
          </w:p>
        </w:tc>
        <w:tc>
          <w:tcPr>
            <w:tcW w:w="14601" w:type="dxa"/>
            <w:gridSpan w:val="8"/>
            <w:tcBorders>
              <w:bottom w:val="single" w:sz="4" w:space="0" w:color="auto"/>
            </w:tcBorders>
            <w:shd w:val="clear" w:color="auto" w:fill="FFFF99"/>
            <w:vAlign w:val="center"/>
          </w:tcPr>
          <w:p w:rsidR="007E01AE" w:rsidRDefault="007E01AE" w:rsidP="008C7D3B">
            <w:pPr>
              <w:contextualSpacing/>
              <w:rPr>
                <w:rFonts w:cs="Calibri"/>
              </w:rPr>
            </w:pPr>
            <w:r w:rsidRPr="00AB27EC">
              <w:rPr>
                <w:b/>
                <w:color w:val="A5A5A5" w:themeColor="accent3"/>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Attendus de fin de cycle</w:t>
            </w:r>
          </w:p>
          <w:p w:rsidR="007E01AE" w:rsidRPr="007C32FB" w:rsidRDefault="007E01AE" w:rsidP="008C7D3B">
            <w:pPr>
              <w:contextualSpacing/>
              <w:rPr>
                <w:rFonts w:cs="Calibri"/>
              </w:rPr>
            </w:pPr>
            <w:r w:rsidRPr="007C32FB">
              <w:rPr>
                <w:rFonts w:cs="Calibri"/>
              </w:rPr>
              <w:t>MAC3-NC1 : Utiliser et représenter les grands nombres entiers, des fractions simples, les nombres décimaux.</w:t>
            </w:r>
          </w:p>
          <w:p w:rsidR="007E01AE" w:rsidRPr="007C32FB" w:rsidRDefault="007E01AE" w:rsidP="008C7D3B">
            <w:pPr>
              <w:rPr>
                <w:rFonts w:cs="Calibri"/>
              </w:rPr>
            </w:pPr>
            <w:r w:rsidRPr="007C32FB">
              <w:rPr>
                <w:rFonts w:cs="Calibri"/>
              </w:rPr>
              <w:t>MAC3-NC2 : Calculer avec des nombres entiers et des nombres décimaux.</w:t>
            </w:r>
          </w:p>
          <w:p w:rsidR="007E01AE" w:rsidRPr="00426D97" w:rsidRDefault="007E01AE" w:rsidP="008C7D3B">
            <w:pPr>
              <w:rPr>
                <w:b/>
                <w:color w:val="FFFFFF" w:themeColor="background1"/>
                <w:sz w:val="22"/>
                <w:szCs w:val="22"/>
              </w:rPr>
            </w:pPr>
            <w:r w:rsidRPr="007C32FB">
              <w:rPr>
                <w:rFonts w:cs="Calibri"/>
              </w:rPr>
              <w:t>MAC3-NC3 : Résoudre des problèmes en utilisant des fractions simples, les nombres décimaux et le calcul</w:t>
            </w:r>
          </w:p>
        </w:tc>
      </w:tr>
      <w:tr w:rsidR="007E01AE" w:rsidRPr="003F5F11" w:rsidTr="008C7D3B">
        <w:trPr>
          <w:trHeight w:val="551"/>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shd w:val="clear" w:color="auto" w:fill="FFCC00"/>
            <w:vAlign w:val="center"/>
          </w:tcPr>
          <w:p w:rsidR="007E01AE" w:rsidRPr="003F5F11" w:rsidRDefault="007E01AE" w:rsidP="008C7D3B">
            <w:pPr>
              <w:rPr>
                <w:rFonts w:cs="Calibri"/>
                <w:color w:val="000000"/>
                <w:sz w:val="22"/>
                <w:szCs w:val="22"/>
              </w:rPr>
            </w:pPr>
            <w:r w:rsidRPr="003F5F11">
              <w:rPr>
                <w:rFonts w:cs="Calibri"/>
                <w:color w:val="000000"/>
                <w:sz w:val="22"/>
                <w:szCs w:val="22"/>
              </w:rPr>
              <w:t>Pratiquer régulièrement le calcul mental ou à la main, et utiliser à bon escient la calculatrice ou un logiciel.</w:t>
            </w:r>
          </w:p>
        </w:tc>
      </w:tr>
      <w:tr w:rsidR="007E01AE" w:rsidRPr="003F5F11" w:rsidTr="008C7D3B">
        <w:trPr>
          <w:trHeight w:val="405"/>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962" w:type="dxa"/>
            <w:gridSpan w:val="2"/>
            <w:tcBorders>
              <w:bottom w:val="single" w:sz="4" w:space="0" w:color="auto"/>
            </w:tcBorders>
            <w:shd w:val="clear" w:color="auto" w:fill="99CCFF"/>
            <w:vAlign w:val="center"/>
          </w:tcPr>
          <w:p w:rsidR="007E01AE" w:rsidRPr="00A01E8E" w:rsidRDefault="007E01AE" w:rsidP="008C7D3B">
            <w:pPr>
              <w:jc w:val="center"/>
              <w:rPr>
                <w:rFonts w:cs="Calibri"/>
                <w:b/>
                <w:color w:val="FFFFFF" w:themeColor="background1"/>
              </w:rPr>
            </w:pPr>
            <w:r w:rsidRPr="00A01E8E">
              <w:rPr>
                <w:rFonts w:cs="Calibri"/>
              </w:rPr>
              <w:t>Les entiers</w:t>
            </w:r>
          </w:p>
        </w:tc>
        <w:tc>
          <w:tcPr>
            <w:tcW w:w="3401" w:type="dxa"/>
            <w:tcBorders>
              <w:bottom w:val="single" w:sz="4" w:space="0" w:color="auto"/>
              <w:right w:val="nil"/>
            </w:tcBorders>
            <w:shd w:val="clear" w:color="auto" w:fill="auto"/>
            <w:vAlign w:val="center"/>
          </w:tcPr>
          <w:p w:rsidR="007E01AE" w:rsidRPr="00426D97" w:rsidRDefault="007E01AE" w:rsidP="008C7D3B">
            <w:pPr>
              <w:jc w:val="center"/>
              <w:rPr>
                <w:rFonts w:cs="Calibri"/>
                <w:b/>
                <w:color w:val="FFFFFF" w:themeColor="background1"/>
                <w:sz w:val="22"/>
                <w:szCs w:val="22"/>
              </w:rPr>
            </w:pPr>
          </w:p>
        </w:tc>
        <w:tc>
          <w:tcPr>
            <w:tcW w:w="6238" w:type="dxa"/>
            <w:gridSpan w:val="5"/>
            <w:tcBorders>
              <w:left w:val="nil"/>
              <w:bottom w:val="single" w:sz="4" w:space="0" w:color="auto"/>
            </w:tcBorders>
            <w:shd w:val="clear" w:color="auto" w:fill="auto"/>
            <w:vAlign w:val="center"/>
          </w:tcPr>
          <w:p w:rsidR="007E01AE" w:rsidRPr="00426D97" w:rsidRDefault="007E01AE" w:rsidP="008C7D3B">
            <w:pPr>
              <w:jc w:val="center"/>
              <w:rPr>
                <w:rFonts w:cs="Calibri"/>
                <w:b/>
                <w:color w:val="FFFFFF" w:themeColor="background1"/>
                <w:sz w:val="22"/>
                <w:szCs w:val="22"/>
              </w:rPr>
            </w:pPr>
          </w:p>
        </w:tc>
      </w:tr>
      <w:tr w:rsidR="007E01AE" w:rsidRPr="003F5F11" w:rsidTr="008C7D3B">
        <w:trPr>
          <w:trHeight w:val="407"/>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CCFFFF"/>
            <w:vAlign w:val="center"/>
          </w:tcPr>
          <w:p w:rsidR="007E01AE" w:rsidRPr="00CA6BF2" w:rsidRDefault="007E01AE" w:rsidP="008C7D3B">
            <w:pPr>
              <w:jc w:val="center"/>
              <w:rPr>
                <w:rFonts w:cs="Calibri"/>
                <w:b/>
                <w:sz w:val="22"/>
                <w:szCs w:val="22"/>
              </w:rPr>
            </w:pPr>
            <w:r w:rsidRPr="00CA6BF2">
              <w:rPr>
                <w:rFonts w:cs="Calibri"/>
                <w:b/>
                <w:sz w:val="22"/>
                <w:szCs w:val="22"/>
              </w:rPr>
              <w:t>Utiliser et représenter les grands nombres entiers</w:t>
            </w:r>
          </w:p>
        </w:tc>
      </w:tr>
      <w:tr w:rsidR="007E01AE" w:rsidRPr="003F5F11" w:rsidTr="008C7D3B">
        <w:trPr>
          <w:trHeight w:val="1267"/>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shd w:val="clear" w:color="auto" w:fill="auto"/>
            <w:vAlign w:val="center"/>
          </w:tcPr>
          <w:p w:rsidR="007E01AE" w:rsidRPr="0007631D" w:rsidRDefault="007E01AE" w:rsidP="008C7D3B">
            <w:pPr>
              <w:rPr>
                <w:rFonts w:cs="Calibri"/>
                <w:sz w:val="22"/>
                <w:szCs w:val="22"/>
              </w:rPr>
            </w:pPr>
            <w:r w:rsidRPr="0007631D">
              <w:rPr>
                <w:rFonts w:cs="Calibri"/>
                <w:sz w:val="22"/>
                <w:szCs w:val="22"/>
              </w:rPr>
              <w:t xml:space="preserve">Composer, décomposer les grands nombres entiers, en utilisant des regroupements par milliers. Unités de numération (unités simples, dizaines, centaines, milliers, millions, milliards) et leurs relations. </w:t>
            </w:r>
          </w:p>
          <w:p w:rsidR="007E01AE" w:rsidRPr="00426D97" w:rsidRDefault="007E01AE" w:rsidP="008C7D3B">
            <w:pPr>
              <w:rPr>
                <w:rFonts w:cs="Calibri"/>
                <w:b/>
                <w:color w:val="FFFFFF" w:themeColor="background1"/>
                <w:sz w:val="22"/>
                <w:szCs w:val="22"/>
              </w:rPr>
            </w:pPr>
            <w:r w:rsidRPr="0007631D">
              <w:rPr>
                <w:rFonts w:cs="Calibri"/>
                <w:sz w:val="22"/>
                <w:szCs w:val="22"/>
              </w:rPr>
              <w:t>Illustrer les grands nombres à l’aide d’exemples d’ordres de grandeurs (population française, population mondiale, rayon de la Terre, âge du système solaire…).</w:t>
            </w:r>
          </w:p>
        </w:tc>
      </w:tr>
      <w:tr w:rsidR="007E01AE" w:rsidRPr="003F5F11" w:rsidTr="008C7D3B">
        <w:trPr>
          <w:trHeight w:val="702"/>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auto"/>
            <w:vAlign w:val="center"/>
          </w:tcPr>
          <w:p w:rsidR="007E01AE" w:rsidRPr="0007631D" w:rsidRDefault="007E01AE" w:rsidP="008C7D3B">
            <w:pPr>
              <w:rPr>
                <w:rFonts w:cs="Calibri"/>
                <w:sz w:val="22"/>
                <w:szCs w:val="22"/>
              </w:rPr>
            </w:pPr>
            <w:r w:rsidRPr="0007631D">
              <w:rPr>
                <w:rFonts w:cs="Calibri"/>
                <w:sz w:val="22"/>
                <w:szCs w:val="22"/>
              </w:rPr>
              <w:t xml:space="preserve">Comprendre et appliquer les règles de la numération aux grands nombres (jusqu’à 12 chiffres). </w:t>
            </w:r>
          </w:p>
          <w:p w:rsidR="007E01AE" w:rsidRPr="00426D97" w:rsidRDefault="007E01AE" w:rsidP="008C7D3B">
            <w:pPr>
              <w:jc w:val="center"/>
              <w:rPr>
                <w:rFonts w:cs="Calibri"/>
                <w:b/>
                <w:color w:val="FFFFFF" w:themeColor="background1"/>
                <w:sz w:val="22"/>
                <w:szCs w:val="22"/>
              </w:rPr>
            </w:pPr>
            <w:r w:rsidRPr="0007631D">
              <w:rPr>
                <w:rFonts w:cs="Calibri"/>
                <w:sz w:val="22"/>
                <w:szCs w:val="22"/>
              </w:rPr>
              <w:t>Comparer, ranger, encadrer des grands nombres entiers, les repérer et les placer sur une demi-droite graduée adaptée.</w:t>
            </w:r>
          </w:p>
        </w:tc>
      </w:tr>
      <w:tr w:rsidR="007E01AE" w:rsidRPr="003F5F11" w:rsidTr="008C7D3B">
        <w:trPr>
          <w:trHeight w:val="420"/>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CCFFFF"/>
            <w:vAlign w:val="center"/>
          </w:tcPr>
          <w:p w:rsidR="007E01AE" w:rsidRPr="00CA6BF2" w:rsidRDefault="007E01AE" w:rsidP="008C7D3B">
            <w:pPr>
              <w:jc w:val="center"/>
              <w:rPr>
                <w:rFonts w:cs="Calibri"/>
                <w:b/>
                <w:sz w:val="22"/>
                <w:szCs w:val="22"/>
              </w:rPr>
            </w:pPr>
            <w:r w:rsidRPr="00CA6BF2">
              <w:rPr>
                <w:rFonts w:cs="Calibri"/>
                <w:b/>
                <w:sz w:val="22"/>
                <w:szCs w:val="22"/>
              </w:rPr>
              <w:t>Calculer avec des nombres entiers</w:t>
            </w:r>
          </w:p>
        </w:tc>
      </w:tr>
      <w:tr w:rsidR="007E01AE" w:rsidRPr="003F5F11" w:rsidTr="008C7D3B">
        <w:trPr>
          <w:trHeight w:val="1821"/>
        </w:trPr>
        <w:tc>
          <w:tcPr>
            <w:tcW w:w="709" w:type="dxa"/>
            <w:vMerge/>
          </w:tcPr>
          <w:p w:rsidR="007E01AE" w:rsidRDefault="007E01AE" w:rsidP="008C7D3B"/>
        </w:tc>
        <w:tc>
          <w:tcPr>
            <w:tcW w:w="8646" w:type="dxa"/>
            <w:gridSpan w:val="4"/>
            <w:tcBorders>
              <w:top w:val="single" w:sz="4" w:space="0" w:color="auto"/>
              <w:bottom w:val="nil"/>
              <w:right w:val="nil"/>
            </w:tcBorders>
            <w:vAlign w:val="center"/>
          </w:tcPr>
          <w:p w:rsidR="007E01AE" w:rsidRPr="00A01E8E" w:rsidRDefault="007E01AE" w:rsidP="008C7D3B">
            <w:pPr>
              <w:rPr>
                <w:rFonts w:cs="Calibri"/>
                <w:sz w:val="22"/>
                <w:szCs w:val="22"/>
              </w:rPr>
            </w:pPr>
            <w:r w:rsidRPr="00A01E8E">
              <w:rPr>
                <w:rFonts w:cs="Calibri"/>
                <w:sz w:val="22"/>
                <w:szCs w:val="22"/>
              </w:rPr>
              <w:t xml:space="preserve">Mémoriser des faits numériques et des procédures élémentaires de calcul. </w:t>
            </w:r>
          </w:p>
          <w:p w:rsidR="007E01AE" w:rsidRPr="00A01E8E" w:rsidRDefault="007E01AE" w:rsidP="008C7D3B">
            <w:pPr>
              <w:rPr>
                <w:rFonts w:cs="Calibri"/>
                <w:sz w:val="22"/>
                <w:szCs w:val="22"/>
              </w:rPr>
            </w:pPr>
            <w:r w:rsidRPr="00A01E8E">
              <w:rPr>
                <w:rFonts w:cs="Calibri"/>
                <w:sz w:val="22"/>
                <w:szCs w:val="22"/>
              </w:rPr>
              <w:t xml:space="preserve">Élaborer ou choisir des stratégies de calcul à l’oral et à l’écrit. </w:t>
            </w:r>
          </w:p>
          <w:p w:rsidR="007E01AE" w:rsidRPr="00A01E8E" w:rsidRDefault="007E01AE" w:rsidP="008C7D3B">
            <w:pPr>
              <w:rPr>
                <w:rFonts w:cs="Calibri"/>
                <w:sz w:val="22"/>
                <w:szCs w:val="22"/>
              </w:rPr>
            </w:pPr>
            <w:r w:rsidRPr="00A01E8E">
              <w:rPr>
                <w:rFonts w:cs="Calibri"/>
                <w:sz w:val="22"/>
                <w:szCs w:val="22"/>
              </w:rPr>
              <w:t xml:space="preserve">Vérifier la vraisemblance d’un résultat, notamment en estimant son ordre de grandeur. </w:t>
            </w:r>
          </w:p>
          <w:p w:rsidR="007E01AE" w:rsidRPr="00A01E8E" w:rsidRDefault="007E01AE" w:rsidP="007E01AE">
            <w:pPr>
              <w:numPr>
                <w:ilvl w:val="0"/>
                <w:numId w:val="1"/>
              </w:numPr>
              <w:rPr>
                <w:rFonts w:cs="Calibri"/>
                <w:sz w:val="22"/>
                <w:szCs w:val="22"/>
              </w:rPr>
            </w:pPr>
            <w:r w:rsidRPr="00A01E8E">
              <w:rPr>
                <w:rFonts w:cs="Calibri"/>
                <w:sz w:val="22"/>
                <w:szCs w:val="22"/>
              </w:rPr>
              <w:t>Addition, soustraction, multiplication, division.</w:t>
            </w:r>
          </w:p>
          <w:p w:rsidR="007E01AE" w:rsidRPr="00197123" w:rsidRDefault="007E01AE" w:rsidP="007E01AE">
            <w:pPr>
              <w:numPr>
                <w:ilvl w:val="0"/>
                <w:numId w:val="1"/>
              </w:numPr>
              <w:rPr>
                <w:rFonts w:cs="Calibri"/>
                <w:sz w:val="22"/>
                <w:szCs w:val="22"/>
              </w:rPr>
            </w:pPr>
            <w:r w:rsidRPr="00A01E8E">
              <w:rPr>
                <w:rFonts w:cs="Calibri"/>
                <w:sz w:val="22"/>
                <w:szCs w:val="22"/>
              </w:rPr>
              <w:t>Propriétés des opérations :</w:t>
            </w:r>
            <w:r>
              <w:rPr>
                <w:rFonts w:cs="Calibri"/>
                <w:sz w:val="22"/>
                <w:szCs w:val="22"/>
              </w:rPr>
              <w:t xml:space="preserve"> </w:t>
            </w:r>
            <w:r w:rsidRPr="00197123">
              <w:rPr>
                <w:rFonts w:cs="Calibri"/>
                <w:i/>
                <w:sz w:val="22"/>
                <w:szCs w:val="22"/>
              </w:rPr>
              <w:t>2+9 = 9+2</w:t>
            </w:r>
            <w:r>
              <w:rPr>
                <w:rFonts w:cs="Calibri"/>
                <w:sz w:val="22"/>
                <w:szCs w:val="22"/>
              </w:rPr>
              <w:t xml:space="preserve">, </w:t>
            </w:r>
            <w:r w:rsidRPr="00197123">
              <w:rPr>
                <w:rFonts w:cs="Calibri"/>
                <w:i/>
                <w:sz w:val="22"/>
                <w:szCs w:val="22"/>
              </w:rPr>
              <w:t>3×5×2 = 3×10</w:t>
            </w:r>
            <w:r>
              <w:rPr>
                <w:rFonts w:cs="Calibri"/>
                <w:sz w:val="22"/>
                <w:szCs w:val="22"/>
              </w:rPr>
              <w:t xml:space="preserve">, </w:t>
            </w:r>
            <w:r w:rsidRPr="00197123">
              <w:rPr>
                <w:rFonts w:cs="Calibri"/>
                <w:i/>
                <w:sz w:val="22"/>
                <w:szCs w:val="22"/>
              </w:rPr>
              <w:t>5×12 = 5×10 + 5×2</w:t>
            </w:r>
            <w:r w:rsidRPr="00197123">
              <w:rPr>
                <w:rFonts w:cs="Calibri"/>
                <w:sz w:val="22"/>
                <w:szCs w:val="22"/>
              </w:rPr>
              <w:t xml:space="preserve"> </w:t>
            </w:r>
          </w:p>
          <w:p w:rsidR="007E01AE" w:rsidRPr="00A01E8E" w:rsidRDefault="007E01AE" w:rsidP="007E01AE">
            <w:pPr>
              <w:numPr>
                <w:ilvl w:val="0"/>
                <w:numId w:val="1"/>
              </w:numPr>
              <w:rPr>
                <w:rFonts w:cs="Calibri"/>
                <w:sz w:val="22"/>
                <w:szCs w:val="22"/>
              </w:rPr>
            </w:pPr>
            <w:r w:rsidRPr="00A01E8E">
              <w:rPr>
                <w:rFonts w:cs="Calibri"/>
                <w:sz w:val="22"/>
                <w:szCs w:val="22"/>
              </w:rPr>
              <w:t>Faits et procédures numériques additifs et multiplicatifs.</w:t>
            </w:r>
          </w:p>
        </w:tc>
        <w:tc>
          <w:tcPr>
            <w:tcW w:w="5955" w:type="dxa"/>
            <w:gridSpan w:val="4"/>
            <w:tcBorders>
              <w:top w:val="single" w:sz="4" w:space="0" w:color="auto"/>
              <w:left w:val="nil"/>
              <w:bottom w:val="nil"/>
            </w:tcBorders>
            <w:vAlign w:val="center"/>
          </w:tcPr>
          <w:p w:rsidR="007E01AE" w:rsidRPr="00E81077" w:rsidRDefault="007E01AE" w:rsidP="008C7D3B">
            <w:pPr>
              <w:rPr>
                <w:rFonts w:cs="Calibri"/>
                <w:i/>
                <w:sz w:val="20"/>
                <w:szCs w:val="20"/>
              </w:rPr>
            </w:pPr>
            <w:r>
              <w:rPr>
                <w:rFonts w:cs="Calibri"/>
                <w:i/>
                <w:sz w:val="20"/>
                <w:szCs w:val="20"/>
              </w:rPr>
              <w:t>R</w:t>
            </w:r>
            <w:r w:rsidRPr="00E81077">
              <w:rPr>
                <w:rFonts w:cs="Calibri"/>
                <w:i/>
                <w:sz w:val="20"/>
                <w:szCs w:val="20"/>
              </w:rPr>
              <w:t xml:space="preserve">echercher le complément à l’unité, à la dizaine, à la centaine supérieure, </w:t>
            </w:r>
          </w:p>
          <w:p w:rsidR="007E01AE" w:rsidRPr="00E81077" w:rsidRDefault="007E01AE" w:rsidP="008C7D3B">
            <w:pPr>
              <w:rPr>
                <w:rFonts w:cs="Calibri"/>
                <w:i/>
                <w:sz w:val="20"/>
                <w:szCs w:val="20"/>
              </w:rPr>
            </w:pPr>
            <w:r w:rsidRPr="00E81077">
              <w:rPr>
                <w:rFonts w:cs="Calibri"/>
                <w:i/>
                <w:sz w:val="20"/>
                <w:szCs w:val="20"/>
              </w:rPr>
              <w:t xml:space="preserve">- encadrer un nombre entre deux multiples consécutifs, </w:t>
            </w:r>
          </w:p>
          <w:p w:rsidR="007E01AE" w:rsidRPr="00E81077" w:rsidRDefault="007E01AE" w:rsidP="008C7D3B">
            <w:pPr>
              <w:rPr>
                <w:rFonts w:cs="Calibri"/>
                <w:i/>
                <w:sz w:val="20"/>
                <w:szCs w:val="20"/>
              </w:rPr>
            </w:pPr>
            <w:r w:rsidRPr="00E81077">
              <w:rPr>
                <w:rFonts w:cs="Calibri"/>
                <w:i/>
                <w:sz w:val="20"/>
                <w:szCs w:val="20"/>
              </w:rPr>
              <w:t xml:space="preserve">- trouver un quotient, un reste, </w:t>
            </w:r>
          </w:p>
          <w:p w:rsidR="007E01AE" w:rsidRPr="00A01E8E" w:rsidRDefault="007E01AE" w:rsidP="008C7D3B">
            <w:pPr>
              <w:rPr>
                <w:rFonts w:cs="Calibri"/>
                <w:sz w:val="22"/>
                <w:szCs w:val="22"/>
              </w:rPr>
            </w:pPr>
            <w:r w:rsidRPr="00E81077">
              <w:rPr>
                <w:rFonts w:cs="Calibri"/>
                <w:i/>
                <w:sz w:val="20"/>
                <w:szCs w:val="20"/>
              </w:rPr>
              <w:t>- multiplier par 5, par 25, par 50, par 100, par 0,1, par 0,5</w:t>
            </w:r>
          </w:p>
        </w:tc>
      </w:tr>
      <w:tr w:rsidR="007E01AE" w:rsidRPr="003F5F11" w:rsidTr="008C7D3B">
        <w:trPr>
          <w:trHeight w:val="52"/>
        </w:trPr>
        <w:tc>
          <w:tcPr>
            <w:tcW w:w="709" w:type="dxa"/>
            <w:vMerge/>
          </w:tcPr>
          <w:p w:rsidR="007E01AE" w:rsidRDefault="007E01AE" w:rsidP="008C7D3B"/>
        </w:tc>
        <w:tc>
          <w:tcPr>
            <w:tcW w:w="4962" w:type="dxa"/>
            <w:gridSpan w:val="2"/>
            <w:tcBorders>
              <w:top w:val="nil"/>
              <w:bottom w:val="nil"/>
              <w:right w:val="nil"/>
            </w:tcBorders>
            <w:vAlign w:val="center"/>
          </w:tcPr>
          <w:p w:rsidR="007E01AE" w:rsidRPr="00A01E8E" w:rsidRDefault="007E01AE" w:rsidP="008C7D3B">
            <w:pPr>
              <w:rPr>
                <w:rFonts w:cs="Calibri"/>
                <w:sz w:val="22"/>
                <w:szCs w:val="22"/>
              </w:rPr>
            </w:pPr>
          </w:p>
        </w:tc>
        <w:tc>
          <w:tcPr>
            <w:tcW w:w="9639" w:type="dxa"/>
            <w:gridSpan w:val="6"/>
            <w:tcBorders>
              <w:top w:val="nil"/>
              <w:left w:val="nil"/>
              <w:bottom w:val="nil"/>
            </w:tcBorders>
            <w:vAlign w:val="center"/>
          </w:tcPr>
          <w:p w:rsidR="007E01AE" w:rsidRPr="00E81077" w:rsidRDefault="007E01AE" w:rsidP="007E01AE">
            <w:pPr>
              <w:numPr>
                <w:ilvl w:val="0"/>
                <w:numId w:val="1"/>
              </w:numPr>
              <w:rPr>
                <w:rFonts w:cs="Calibri"/>
                <w:sz w:val="22"/>
                <w:szCs w:val="22"/>
              </w:rPr>
            </w:pPr>
            <w:r w:rsidRPr="00E81077">
              <w:rPr>
                <w:rFonts w:cs="Calibri"/>
                <w:sz w:val="22"/>
                <w:szCs w:val="22"/>
              </w:rPr>
              <w:t>Multiples et diviseurs des nombres d’usage courant.</w:t>
            </w:r>
          </w:p>
          <w:p w:rsidR="007E01AE" w:rsidRPr="00E81077" w:rsidRDefault="007E01AE" w:rsidP="007E01AE">
            <w:pPr>
              <w:numPr>
                <w:ilvl w:val="0"/>
                <w:numId w:val="1"/>
              </w:numPr>
              <w:jc w:val="right"/>
              <w:rPr>
                <w:rFonts w:cs="Calibri"/>
                <w:sz w:val="22"/>
                <w:szCs w:val="22"/>
              </w:rPr>
            </w:pPr>
            <w:r w:rsidRPr="00E81077">
              <w:rPr>
                <w:rFonts w:cs="Calibri"/>
                <w:sz w:val="22"/>
                <w:szCs w:val="22"/>
              </w:rPr>
              <w:t>Critères de divisibilité (</w:t>
            </w:r>
            <w:r w:rsidRPr="00E81077">
              <w:rPr>
                <w:sz w:val="22"/>
                <w:szCs w:val="22"/>
              </w:rPr>
              <w:t>2, 3, 4, 5, 9, 10)</w:t>
            </w:r>
            <w:r w:rsidRPr="00E81077">
              <w:rPr>
                <w:rFonts w:cs="Calibri"/>
                <w:sz w:val="22"/>
                <w:szCs w:val="22"/>
              </w:rPr>
              <w:t>.</w:t>
            </w:r>
          </w:p>
        </w:tc>
      </w:tr>
      <w:tr w:rsidR="007E01AE" w:rsidRPr="003F5F11" w:rsidTr="008C7D3B">
        <w:trPr>
          <w:trHeight w:val="52"/>
        </w:trPr>
        <w:tc>
          <w:tcPr>
            <w:tcW w:w="709" w:type="dxa"/>
            <w:vMerge/>
          </w:tcPr>
          <w:p w:rsidR="007E01AE" w:rsidRDefault="007E01AE" w:rsidP="008C7D3B"/>
        </w:tc>
        <w:tc>
          <w:tcPr>
            <w:tcW w:w="4962" w:type="dxa"/>
            <w:gridSpan w:val="2"/>
            <w:tcBorders>
              <w:top w:val="nil"/>
              <w:bottom w:val="nil"/>
              <w:right w:val="nil"/>
            </w:tcBorders>
            <w:vAlign w:val="center"/>
          </w:tcPr>
          <w:p w:rsidR="007E01AE" w:rsidRPr="0007631D" w:rsidRDefault="007E01AE" w:rsidP="008C7D3B">
            <w:pPr>
              <w:rPr>
                <w:rFonts w:cs="Calibri"/>
                <w:sz w:val="22"/>
                <w:szCs w:val="22"/>
              </w:rPr>
            </w:pPr>
          </w:p>
        </w:tc>
        <w:tc>
          <w:tcPr>
            <w:tcW w:w="9639" w:type="dxa"/>
            <w:gridSpan w:val="6"/>
            <w:tcBorders>
              <w:top w:val="nil"/>
              <w:left w:val="nil"/>
              <w:bottom w:val="nil"/>
            </w:tcBorders>
            <w:vAlign w:val="center"/>
          </w:tcPr>
          <w:p w:rsidR="007E01AE" w:rsidRPr="00E81077" w:rsidRDefault="007E01AE" w:rsidP="008C7D3B">
            <w:pPr>
              <w:jc w:val="right"/>
              <w:rPr>
                <w:rFonts w:cs="Calibri"/>
                <w:sz w:val="22"/>
                <w:szCs w:val="22"/>
              </w:rPr>
            </w:pPr>
            <w:r w:rsidRPr="00E81077">
              <w:rPr>
                <w:rFonts w:cs="Calibri"/>
                <w:sz w:val="22"/>
                <w:szCs w:val="22"/>
              </w:rPr>
              <w:t xml:space="preserve">Calcul en ligne : utiliser des parenthèses dans des situations très simples. </w:t>
            </w:r>
          </w:p>
          <w:p w:rsidR="007E01AE" w:rsidRPr="00E81077" w:rsidRDefault="007E01AE" w:rsidP="007E01AE">
            <w:pPr>
              <w:numPr>
                <w:ilvl w:val="0"/>
                <w:numId w:val="2"/>
              </w:numPr>
              <w:jc w:val="right"/>
              <w:rPr>
                <w:rFonts w:cs="Calibri"/>
                <w:sz w:val="22"/>
                <w:szCs w:val="22"/>
              </w:rPr>
            </w:pPr>
            <w:r w:rsidRPr="00E81077">
              <w:rPr>
                <w:rFonts w:cs="Calibri"/>
                <w:sz w:val="22"/>
                <w:szCs w:val="22"/>
              </w:rPr>
              <w:t>Règles d’usage des parenthèses.</w:t>
            </w:r>
          </w:p>
        </w:tc>
      </w:tr>
      <w:tr w:rsidR="007E01AE" w:rsidRPr="003F5F11" w:rsidTr="008C7D3B">
        <w:trPr>
          <w:trHeight w:val="1507"/>
        </w:trPr>
        <w:tc>
          <w:tcPr>
            <w:tcW w:w="709" w:type="dxa"/>
            <w:vMerge/>
          </w:tcPr>
          <w:p w:rsidR="007E01AE" w:rsidRDefault="007E01AE" w:rsidP="008C7D3B"/>
        </w:tc>
        <w:tc>
          <w:tcPr>
            <w:tcW w:w="4962" w:type="dxa"/>
            <w:gridSpan w:val="2"/>
            <w:tcBorders>
              <w:top w:val="nil"/>
              <w:bottom w:val="single" w:sz="4" w:space="0" w:color="auto"/>
              <w:right w:val="nil"/>
            </w:tcBorders>
            <w:vAlign w:val="center"/>
          </w:tcPr>
          <w:p w:rsidR="007E01AE" w:rsidRPr="0007631D" w:rsidRDefault="007E01AE" w:rsidP="008C7D3B">
            <w:pPr>
              <w:rPr>
                <w:rFonts w:cs="Calibri"/>
                <w:sz w:val="22"/>
                <w:szCs w:val="22"/>
              </w:rPr>
            </w:pPr>
          </w:p>
        </w:tc>
        <w:tc>
          <w:tcPr>
            <w:tcW w:w="9639" w:type="dxa"/>
            <w:gridSpan w:val="6"/>
            <w:tcBorders>
              <w:top w:val="nil"/>
              <w:left w:val="nil"/>
              <w:bottom w:val="single" w:sz="4" w:space="0" w:color="auto"/>
            </w:tcBorders>
            <w:vAlign w:val="center"/>
          </w:tcPr>
          <w:p w:rsidR="007E01AE" w:rsidRPr="00E81077" w:rsidRDefault="007E01AE" w:rsidP="008C7D3B">
            <w:pPr>
              <w:rPr>
                <w:rFonts w:cs="Calibri"/>
                <w:sz w:val="22"/>
                <w:szCs w:val="22"/>
              </w:rPr>
            </w:pPr>
            <w:r w:rsidRPr="00E81077">
              <w:rPr>
                <w:rFonts w:cs="Calibri"/>
                <w:sz w:val="22"/>
                <w:szCs w:val="22"/>
              </w:rPr>
              <w:t xml:space="preserve">Calcul posé : mettre en œuvre un algorithme de calcul posé pour l’addition, la soustraction, la multiplication, la division. </w:t>
            </w:r>
          </w:p>
          <w:p w:rsidR="007E01AE" w:rsidRPr="00E81077" w:rsidRDefault="007E01AE" w:rsidP="008C7D3B">
            <w:pPr>
              <w:rPr>
                <w:rFonts w:cs="Calibri"/>
                <w:sz w:val="22"/>
                <w:szCs w:val="22"/>
              </w:rPr>
            </w:pPr>
            <w:r w:rsidRPr="00E81077">
              <w:rPr>
                <w:rFonts w:cs="Calibri"/>
                <w:sz w:val="22"/>
                <w:szCs w:val="22"/>
              </w:rPr>
              <w:t>Techniques opératoires de calcul (dans le cas de la division, on se limite à diviser par un entier).</w:t>
            </w:r>
          </w:p>
        </w:tc>
      </w:tr>
      <w:tr w:rsidR="007E01AE" w:rsidRPr="003F5F11" w:rsidTr="008C7D3B">
        <w:trPr>
          <w:trHeight w:val="420"/>
        </w:trPr>
        <w:tc>
          <w:tcPr>
            <w:tcW w:w="709" w:type="dxa"/>
            <w:vMerge/>
          </w:tcPr>
          <w:p w:rsidR="007E01AE" w:rsidRDefault="007E01AE" w:rsidP="008C7D3B"/>
        </w:tc>
        <w:tc>
          <w:tcPr>
            <w:tcW w:w="14601" w:type="dxa"/>
            <w:gridSpan w:val="8"/>
            <w:tcBorders>
              <w:top w:val="single" w:sz="4" w:space="0" w:color="auto"/>
              <w:bottom w:val="single" w:sz="4" w:space="0" w:color="auto"/>
            </w:tcBorders>
            <w:shd w:val="clear" w:color="auto" w:fill="CCFFFF"/>
            <w:vAlign w:val="center"/>
          </w:tcPr>
          <w:p w:rsidR="007E01AE" w:rsidRPr="00CA6BF2" w:rsidRDefault="007E01AE" w:rsidP="008C7D3B">
            <w:pPr>
              <w:jc w:val="center"/>
              <w:rPr>
                <w:rFonts w:cs="Calibri"/>
                <w:sz w:val="22"/>
                <w:szCs w:val="22"/>
              </w:rPr>
            </w:pPr>
            <w:r w:rsidRPr="00CA6BF2">
              <w:rPr>
                <w:rFonts w:cs="Calibri"/>
                <w:b/>
                <w:sz w:val="20"/>
                <w:szCs w:val="20"/>
              </w:rPr>
              <w:t>Résoudre des problèmes</w:t>
            </w:r>
          </w:p>
        </w:tc>
      </w:tr>
      <w:tr w:rsidR="007E01AE" w:rsidRPr="003F5F11" w:rsidTr="008C7D3B">
        <w:trPr>
          <w:trHeight w:val="354"/>
        </w:trPr>
        <w:tc>
          <w:tcPr>
            <w:tcW w:w="709" w:type="dxa"/>
            <w:vMerge/>
          </w:tcPr>
          <w:p w:rsidR="007E01AE" w:rsidRDefault="007E01AE" w:rsidP="008C7D3B"/>
        </w:tc>
        <w:tc>
          <w:tcPr>
            <w:tcW w:w="14601" w:type="dxa"/>
            <w:gridSpan w:val="8"/>
            <w:tcBorders>
              <w:top w:val="single" w:sz="4" w:space="0" w:color="auto"/>
              <w:bottom w:val="nil"/>
            </w:tcBorders>
            <w:vAlign w:val="center"/>
          </w:tcPr>
          <w:p w:rsidR="007E01AE" w:rsidRPr="008F7E7D" w:rsidRDefault="007E01AE" w:rsidP="008C7D3B">
            <w:pPr>
              <w:rPr>
                <w:rFonts w:cs="Calibri"/>
                <w:sz w:val="22"/>
                <w:szCs w:val="22"/>
              </w:rPr>
            </w:pPr>
            <w:r w:rsidRPr="008F7E7D">
              <w:rPr>
                <w:rFonts w:cs="Calibri"/>
                <w:sz w:val="22"/>
                <w:szCs w:val="22"/>
              </w:rPr>
              <w:t xml:space="preserve">Sens des opérations. Problèmes </w:t>
            </w:r>
            <w:proofErr w:type="gramStart"/>
            <w:r w:rsidRPr="008F7E7D">
              <w:rPr>
                <w:rFonts w:cs="Calibri"/>
                <w:sz w:val="22"/>
                <w:szCs w:val="22"/>
              </w:rPr>
              <w:t>relevant  des</w:t>
            </w:r>
            <w:proofErr w:type="gramEnd"/>
            <w:r w:rsidRPr="008F7E7D">
              <w:rPr>
                <w:rFonts w:cs="Calibri"/>
                <w:sz w:val="22"/>
                <w:szCs w:val="22"/>
              </w:rPr>
              <w:t xml:space="preserve"> structures additives ; des structures multiplicatives.</w:t>
            </w:r>
          </w:p>
        </w:tc>
      </w:tr>
      <w:tr w:rsidR="007E01AE" w:rsidRPr="003F5F11" w:rsidTr="008C7D3B">
        <w:trPr>
          <w:trHeight w:val="65"/>
        </w:trPr>
        <w:tc>
          <w:tcPr>
            <w:tcW w:w="709" w:type="dxa"/>
            <w:vMerge/>
          </w:tcPr>
          <w:p w:rsidR="007E01AE" w:rsidRDefault="007E01AE" w:rsidP="008C7D3B"/>
        </w:tc>
        <w:tc>
          <w:tcPr>
            <w:tcW w:w="14601" w:type="dxa"/>
            <w:gridSpan w:val="8"/>
            <w:tcBorders>
              <w:top w:val="nil"/>
              <w:bottom w:val="nil"/>
            </w:tcBorders>
            <w:vAlign w:val="center"/>
          </w:tcPr>
          <w:p w:rsidR="007E01AE" w:rsidRPr="008F7E7D" w:rsidRDefault="007E01AE" w:rsidP="008C7D3B">
            <w:pPr>
              <w:rPr>
                <w:rFonts w:cs="Calibri"/>
                <w:b/>
                <w:sz w:val="22"/>
                <w:szCs w:val="22"/>
              </w:rPr>
            </w:pPr>
            <w:r w:rsidRPr="008F7E7D">
              <w:rPr>
                <w:rFonts w:cs="Calibri"/>
                <w:b/>
                <w:sz w:val="22"/>
                <w:szCs w:val="22"/>
              </w:rPr>
              <w:t>Organisation et gestion de données</w:t>
            </w:r>
          </w:p>
          <w:p w:rsidR="007E01AE" w:rsidRPr="008F7E7D" w:rsidRDefault="007E01AE" w:rsidP="008C7D3B">
            <w:pPr>
              <w:jc w:val="center"/>
              <w:rPr>
                <w:rFonts w:cs="Calibri"/>
                <w:sz w:val="22"/>
                <w:szCs w:val="22"/>
              </w:rPr>
            </w:pPr>
            <w:r w:rsidRPr="008F7E7D">
              <w:rPr>
                <w:rFonts w:cs="Calibri"/>
                <w:sz w:val="22"/>
                <w:szCs w:val="22"/>
              </w:rPr>
              <w:t>Prélever des données numériques à partir de supports variés. Produire des tableaux, diagrammes et graphiques organisant des données numériques.</w:t>
            </w:r>
          </w:p>
          <w:p w:rsidR="007E01AE" w:rsidRPr="008F7E7D" w:rsidRDefault="007E01AE" w:rsidP="008C7D3B">
            <w:pPr>
              <w:rPr>
                <w:rFonts w:cs="Calibri"/>
                <w:sz w:val="22"/>
                <w:szCs w:val="22"/>
              </w:rPr>
            </w:pPr>
            <w:r w:rsidRPr="008F7E7D">
              <w:rPr>
                <w:rFonts w:cs="Calibri"/>
                <w:sz w:val="22"/>
                <w:szCs w:val="22"/>
              </w:rPr>
              <w:t xml:space="preserve">Exploiter et communiquer des résultats de mesures. </w:t>
            </w:r>
          </w:p>
          <w:p w:rsidR="007E01AE" w:rsidRPr="008F7E7D" w:rsidRDefault="007E01AE" w:rsidP="008C7D3B">
            <w:pPr>
              <w:jc w:val="right"/>
              <w:rPr>
                <w:rFonts w:cs="Calibri"/>
                <w:sz w:val="22"/>
                <w:szCs w:val="22"/>
              </w:rPr>
            </w:pPr>
            <w:r w:rsidRPr="008F7E7D">
              <w:rPr>
                <w:rFonts w:cs="Calibri"/>
                <w:sz w:val="22"/>
                <w:szCs w:val="22"/>
              </w:rPr>
              <w:t>Représentations usuelles : tableaux (plusieurs colonnes, à double entrée) ; diagrammes en bâtons, circulaires ou semi-circulaires ; graphiques cartésiens</w:t>
            </w:r>
          </w:p>
        </w:tc>
      </w:tr>
      <w:tr w:rsidR="007E01AE" w:rsidRPr="003F5F11" w:rsidTr="008C7D3B">
        <w:trPr>
          <w:trHeight w:val="1876"/>
        </w:trPr>
        <w:tc>
          <w:tcPr>
            <w:tcW w:w="709" w:type="dxa"/>
            <w:vMerge/>
          </w:tcPr>
          <w:p w:rsidR="007E01AE" w:rsidRDefault="007E01AE" w:rsidP="008C7D3B"/>
        </w:tc>
        <w:tc>
          <w:tcPr>
            <w:tcW w:w="4962" w:type="dxa"/>
            <w:gridSpan w:val="2"/>
            <w:tcBorders>
              <w:top w:val="nil"/>
              <w:bottom w:val="single" w:sz="4" w:space="0" w:color="auto"/>
              <w:right w:val="nil"/>
            </w:tcBorders>
            <w:vAlign w:val="center"/>
          </w:tcPr>
          <w:p w:rsidR="007E01AE" w:rsidRPr="0007631D" w:rsidRDefault="007E01AE" w:rsidP="008C7D3B">
            <w:pPr>
              <w:rPr>
                <w:rFonts w:cs="Calibri"/>
                <w:sz w:val="22"/>
                <w:szCs w:val="22"/>
              </w:rPr>
            </w:pPr>
          </w:p>
        </w:tc>
        <w:tc>
          <w:tcPr>
            <w:tcW w:w="9639" w:type="dxa"/>
            <w:gridSpan w:val="6"/>
            <w:tcBorders>
              <w:top w:val="nil"/>
              <w:left w:val="nil"/>
              <w:bottom w:val="single" w:sz="4" w:space="0" w:color="auto"/>
            </w:tcBorders>
            <w:vAlign w:val="center"/>
          </w:tcPr>
          <w:p w:rsidR="007E01AE" w:rsidRPr="00F316A8" w:rsidRDefault="007E01AE" w:rsidP="008C7D3B">
            <w:pPr>
              <w:rPr>
                <w:rFonts w:cs="Calibri"/>
                <w:b/>
                <w:sz w:val="20"/>
                <w:szCs w:val="20"/>
              </w:rPr>
            </w:pPr>
            <w:r w:rsidRPr="00F316A8">
              <w:rPr>
                <w:rFonts w:cs="Calibri"/>
                <w:b/>
                <w:sz w:val="20"/>
                <w:szCs w:val="20"/>
              </w:rPr>
              <w:t>Proportionnalité</w:t>
            </w:r>
          </w:p>
          <w:p w:rsidR="007E01AE" w:rsidRPr="004D3D43" w:rsidRDefault="007E01AE" w:rsidP="008C7D3B">
            <w:pPr>
              <w:rPr>
                <w:rFonts w:cs="Calibri"/>
                <w:sz w:val="22"/>
                <w:szCs w:val="22"/>
              </w:rPr>
            </w:pPr>
            <w:r w:rsidRPr="004D3D43">
              <w:rPr>
                <w:rFonts w:cs="Calibri"/>
                <w:sz w:val="22"/>
                <w:szCs w:val="22"/>
              </w:rPr>
              <w:t xml:space="preserve">Mobiliser les propriétés de linéarité (additives et multiplicatives), de proportionnalité, de passage à l’unité. </w:t>
            </w:r>
          </w:p>
          <w:p w:rsidR="007E01AE" w:rsidRDefault="007E01AE" w:rsidP="008C7D3B">
            <w:pPr>
              <w:jc w:val="right"/>
              <w:rPr>
                <w:rFonts w:cs="Calibri"/>
                <w:sz w:val="22"/>
                <w:szCs w:val="22"/>
              </w:rPr>
            </w:pPr>
            <w:r w:rsidRPr="004D3D43">
              <w:rPr>
                <w:rFonts w:cs="Calibri"/>
                <w:sz w:val="22"/>
                <w:szCs w:val="22"/>
              </w:rPr>
              <w:t xml:space="preserve">Utiliser des exemples de tableaux de proportionnalité. </w:t>
            </w:r>
          </w:p>
          <w:p w:rsidR="007E01AE" w:rsidRPr="0007631D" w:rsidRDefault="007E01AE" w:rsidP="008C7D3B">
            <w:pPr>
              <w:jc w:val="right"/>
              <w:rPr>
                <w:rFonts w:cs="Calibri"/>
                <w:sz w:val="22"/>
                <w:szCs w:val="22"/>
              </w:rPr>
            </w:pPr>
            <w:r w:rsidRPr="004D3D43">
              <w:rPr>
                <w:rFonts w:cs="Calibri"/>
                <w:sz w:val="22"/>
                <w:szCs w:val="22"/>
              </w:rPr>
              <w:t>Situations permettant une rencontre avec des échelles, des vitesses constantes, des taux de pourcentage, en lien avec l’étude des fractions décimales.</w:t>
            </w:r>
          </w:p>
        </w:tc>
      </w:tr>
      <w:tr w:rsidR="007E01AE" w:rsidRPr="003F5F11" w:rsidTr="008C7D3B">
        <w:trPr>
          <w:trHeight w:val="429"/>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962" w:type="dxa"/>
            <w:gridSpan w:val="2"/>
            <w:tcBorders>
              <w:bottom w:val="single" w:sz="4" w:space="0" w:color="auto"/>
            </w:tcBorders>
            <w:shd w:val="clear" w:color="auto" w:fill="99CCFF"/>
            <w:vAlign w:val="center"/>
          </w:tcPr>
          <w:p w:rsidR="007E01AE" w:rsidRPr="00A01E8E" w:rsidRDefault="007E01AE" w:rsidP="008C7D3B">
            <w:pPr>
              <w:jc w:val="center"/>
              <w:rPr>
                <w:rFonts w:cs="Calibri"/>
                <w:b/>
                <w:color w:val="FFFFFF" w:themeColor="background1"/>
              </w:rPr>
            </w:pPr>
            <w:r w:rsidRPr="00A01E8E">
              <w:rPr>
                <w:rFonts w:cs="Calibri"/>
              </w:rPr>
              <w:t xml:space="preserve">Les </w:t>
            </w:r>
            <w:r>
              <w:rPr>
                <w:rFonts w:cs="Calibri"/>
              </w:rPr>
              <w:t>nombres décimaux</w:t>
            </w:r>
          </w:p>
        </w:tc>
        <w:tc>
          <w:tcPr>
            <w:tcW w:w="3401" w:type="dxa"/>
            <w:tcBorders>
              <w:bottom w:val="single" w:sz="4" w:space="0" w:color="auto"/>
              <w:right w:val="nil"/>
            </w:tcBorders>
            <w:shd w:val="clear" w:color="auto" w:fill="auto"/>
            <w:vAlign w:val="center"/>
          </w:tcPr>
          <w:p w:rsidR="007E01AE" w:rsidRPr="00426D97" w:rsidRDefault="007E01AE" w:rsidP="008C7D3B">
            <w:pPr>
              <w:jc w:val="center"/>
              <w:rPr>
                <w:rFonts w:cs="Calibri"/>
                <w:b/>
                <w:color w:val="FFFFFF" w:themeColor="background1"/>
                <w:sz w:val="22"/>
                <w:szCs w:val="22"/>
              </w:rPr>
            </w:pPr>
          </w:p>
        </w:tc>
        <w:tc>
          <w:tcPr>
            <w:tcW w:w="6238" w:type="dxa"/>
            <w:gridSpan w:val="5"/>
            <w:tcBorders>
              <w:left w:val="nil"/>
              <w:bottom w:val="single" w:sz="4" w:space="0" w:color="auto"/>
            </w:tcBorders>
            <w:shd w:val="clear" w:color="auto" w:fill="auto"/>
            <w:vAlign w:val="center"/>
          </w:tcPr>
          <w:p w:rsidR="007E01AE" w:rsidRPr="00426D97" w:rsidRDefault="007E01AE" w:rsidP="008C7D3B">
            <w:pPr>
              <w:jc w:val="center"/>
              <w:rPr>
                <w:rFonts w:cs="Calibri"/>
                <w:b/>
                <w:color w:val="FFFFFF" w:themeColor="background1"/>
                <w:sz w:val="22"/>
                <w:szCs w:val="22"/>
              </w:rPr>
            </w:pPr>
          </w:p>
        </w:tc>
      </w:tr>
      <w:tr w:rsidR="007E01AE" w:rsidRPr="003F5F11" w:rsidTr="008C7D3B">
        <w:trPr>
          <w:trHeight w:val="439"/>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CCFFFF"/>
            <w:vAlign w:val="center"/>
          </w:tcPr>
          <w:p w:rsidR="007E01AE" w:rsidRPr="00CA6BF2" w:rsidRDefault="007E01AE" w:rsidP="008C7D3B">
            <w:pPr>
              <w:jc w:val="center"/>
              <w:rPr>
                <w:rFonts w:cs="Calibri"/>
                <w:b/>
                <w:sz w:val="22"/>
                <w:szCs w:val="22"/>
              </w:rPr>
            </w:pPr>
            <w:r w:rsidRPr="00CA6BF2">
              <w:rPr>
                <w:rFonts w:cs="Calibri"/>
                <w:b/>
                <w:sz w:val="22"/>
                <w:szCs w:val="22"/>
              </w:rPr>
              <w:t>Utiliser et représenter les grands nombres entiers, les nombres décimaux</w:t>
            </w:r>
          </w:p>
        </w:tc>
      </w:tr>
      <w:tr w:rsidR="007E01AE" w:rsidRPr="003F5F11" w:rsidTr="008C7D3B">
        <w:trPr>
          <w:trHeight w:val="60"/>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962" w:type="dxa"/>
            <w:gridSpan w:val="2"/>
            <w:tcBorders>
              <w:bottom w:val="nil"/>
              <w:right w:val="nil"/>
            </w:tcBorders>
            <w:shd w:val="clear" w:color="auto" w:fill="auto"/>
            <w:vAlign w:val="center"/>
          </w:tcPr>
          <w:p w:rsidR="007E01AE" w:rsidRPr="00426D97" w:rsidRDefault="007E01AE" w:rsidP="008C7D3B">
            <w:pPr>
              <w:rPr>
                <w:rFonts w:cs="Calibri"/>
                <w:b/>
                <w:color w:val="FFFFFF" w:themeColor="background1"/>
                <w:sz w:val="22"/>
                <w:szCs w:val="22"/>
              </w:rPr>
            </w:pPr>
          </w:p>
        </w:tc>
        <w:tc>
          <w:tcPr>
            <w:tcW w:w="9639" w:type="dxa"/>
            <w:gridSpan w:val="6"/>
            <w:tcBorders>
              <w:left w:val="nil"/>
              <w:bottom w:val="nil"/>
            </w:tcBorders>
            <w:shd w:val="clear" w:color="auto" w:fill="auto"/>
          </w:tcPr>
          <w:p w:rsidR="007E01AE" w:rsidRPr="00161D0D" w:rsidRDefault="007E01AE" w:rsidP="008C7D3B">
            <w:pPr>
              <w:rPr>
                <w:rFonts w:cs="Calibri"/>
                <w:sz w:val="22"/>
                <w:szCs w:val="22"/>
              </w:rPr>
            </w:pPr>
            <w:r w:rsidRPr="00D42107">
              <w:rPr>
                <w:rFonts w:cs="Calibri"/>
                <w:sz w:val="22"/>
                <w:szCs w:val="22"/>
              </w:rPr>
              <w:t>Associer diverses désignations d’un nombre décimal (fractions décimales, écriture</w:t>
            </w:r>
            <w:r>
              <w:rPr>
                <w:rFonts w:cs="Calibri"/>
                <w:sz w:val="22"/>
                <w:szCs w:val="22"/>
              </w:rPr>
              <w:t xml:space="preserve">s à virgule et décompositions). </w:t>
            </w:r>
            <w:r w:rsidRPr="00D42107">
              <w:rPr>
                <w:rFonts w:cs="Calibri"/>
                <w:sz w:val="22"/>
                <w:szCs w:val="22"/>
              </w:rPr>
              <w:t>Règles et fonctionnement des systèmes de numération dans le champ des nombres décimaux, relations entre unités de numération (point de vue décimal), valeurs des chiffres en fonction de leur rang dans l’écriture à virgule d’un nombre décimal (point de vue positionnel).</w:t>
            </w:r>
          </w:p>
        </w:tc>
      </w:tr>
      <w:tr w:rsidR="007E01AE" w:rsidRPr="003F5F11" w:rsidTr="008C7D3B">
        <w:trPr>
          <w:trHeight w:val="521"/>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962" w:type="dxa"/>
            <w:gridSpan w:val="2"/>
            <w:vMerge w:val="restart"/>
            <w:tcBorders>
              <w:top w:val="nil"/>
              <w:right w:val="nil"/>
            </w:tcBorders>
            <w:shd w:val="clear" w:color="auto" w:fill="auto"/>
            <w:vAlign w:val="center"/>
          </w:tcPr>
          <w:p w:rsidR="007E01AE" w:rsidRPr="00426D97" w:rsidRDefault="007E01AE" w:rsidP="008C7D3B">
            <w:pPr>
              <w:jc w:val="right"/>
              <w:rPr>
                <w:rFonts w:cs="Calibri"/>
                <w:b/>
                <w:color w:val="FFFFFF" w:themeColor="background1"/>
                <w:sz w:val="22"/>
                <w:szCs w:val="22"/>
              </w:rPr>
            </w:pPr>
          </w:p>
        </w:tc>
        <w:tc>
          <w:tcPr>
            <w:tcW w:w="9639" w:type="dxa"/>
            <w:gridSpan w:val="6"/>
            <w:tcBorders>
              <w:top w:val="nil"/>
              <w:left w:val="nil"/>
              <w:bottom w:val="single" w:sz="4" w:space="0" w:color="auto"/>
            </w:tcBorders>
            <w:shd w:val="clear" w:color="auto" w:fill="auto"/>
            <w:vAlign w:val="center"/>
          </w:tcPr>
          <w:p w:rsidR="007E01AE" w:rsidRPr="00426D97" w:rsidRDefault="007E01AE" w:rsidP="008C7D3B">
            <w:pPr>
              <w:rPr>
                <w:rFonts w:cs="Calibri"/>
                <w:b/>
                <w:color w:val="FFFFFF" w:themeColor="background1"/>
                <w:sz w:val="22"/>
                <w:szCs w:val="22"/>
              </w:rPr>
            </w:pPr>
            <w:r w:rsidRPr="00D42107">
              <w:rPr>
                <w:rFonts w:cs="Calibri"/>
                <w:sz w:val="22"/>
                <w:szCs w:val="22"/>
              </w:rPr>
              <w:t>Repérer et placer des décimaux sur une demi-droite graduée adaptée</w:t>
            </w:r>
            <w:r>
              <w:rPr>
                <w:rFonts w:cs="Calibri"/>
                <w:sz w:val="22"/>
                <w:szCs w:val="22"/>
              </w:rPr>
              <w:t>.</w:t>
            </w:r>
          </w:p>
        </w:tc>
      </w:tr>
      <w:tr w:rsidR="007E01AE" w:rsidRPr="003F5F11" w:rsidTr="008C7D3B">
        <w:trPr>
          <w:trHeight w:val="713"/>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962" w:type="dxa"/>
            <w:gridSpan w:val="2"/>
            <w:vMerge/>
            <w:tcBorders>
              <w:bottom w:val="single" w:sz="4" w:space="0" w:color="auto"/>
              <w:right w:val="nil"/>
            </w:tcBorders>
            <w:shd w:val="clear" w:color="auto" w:fill="auto"/>
            <w:vAlign w:val="center"/>
          </w:tcPr>
          <w:p w:rsidR="007E01AE" w:rsidRPr="00426D97" w:rsidRDefault="007E01AE" w:rsidP="008C7D3B">
            <w:pPr>
              <w:jc w:val="right"/>
              <w:rPr>
                <w:rFonts w:cs="Calibri"/>
                <w:b/>
                <w:color w:val="FFFFFF" w:themeColor="background1"/>
                <w:sz w:val="22"/>
                <w:szCs w:val="22"/>
              </w:rPr>
            </w:pPr>
          </w:p>
        </w:tc>
        <w:tc>
          <w:tcPr>
            <w:tcW w:w="9639" w:type="dxa"/>
            <w:gridSpan w:val="6"/>
            <w:tcBorders>
              <w:top w:val="nil"/>
              <w:left w:val="nil"/>
              <w:bottom w:val="single" w:sz="4" w:space="0" w:color="auto"/>
            </w:tcBorders>
            <w:shd w:val="clear" w:color="auto" w:fill="auto"/>
          </w:tcPr>
          <w:p w:rsidR="007E01AE" w:rsidRPr="00D42107" w:rsidRDefault="007E01AE" w:rsidP="008C7D3B">
            <w:pPr>
              <w:rPr>
                <w:rFonts w:cs="Calibri"/>
                <w:sz w:val="22"/>
                <w:szCs w:val="22"/>
              </w:rPr>
            </w:pPr>
            <w:r w:rsidRPr="00D42107">
              <w:rPr>
                <w:rFonts w:cs="Calibri"/>
                <w:sz w:val="22"/>
                <w:szCs w:val="22"/>
              </w:rPr>
              <w:t>Comparer, ranger, encadrer, intercaler des nombres décimaux. Ordre sur les nombres décim</w:t>
            </w:r>
            <w:r>
              <w:rPr>
                <w:rFonts w:cs="Calibri"/>
                <w:sz w:val="22"/>
                <w:szCs w:val="22"/>
              </w:rPr>
              <w:t>aux</w:t>
            </w:r>
            <w:r w:rsidRPr="0007631D">
              <w:rPr>
                <w:rFonts w:cs="Calibri"/>
                <w:sz w:val="22"/>
                <w:szCs w:val="22"/>
              </w:rPr>
              <w:t>.</w:t>
            </w:r>
          </w:p>
        </w:tc>
      </w:tr>
      <w:tr w:rsidR="007E01AE" w:rsidRPr="003F5F11" w:rsidTr="008C7D3B">
        <w:trPr>
          <w:trHeight w:val="479"/>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CCFFFF"/>
            <w:vAlign w:val="center"/>
          </w:tcPr>
          <w:p w:rsidR="007E01AE" w:rsidRPr="00CA6BF2" w:rsidRDefault="007E01AE" w:rsidP="008C7D3B">
            <w:pPr>
              <w:jc w:val="center"/>
              <w:rPr>
                <w:rFonts w:cs="Calibri"/>
                <w:b/>
                <w:sz w:val="22"/>
                <w:szCs w:val="22"/>
              </w:rPr>
            </w:pPr>
            <w:r w:rsidRPr="00CA6BF2">
              <w:rPr>
                <w:rFonts w:cs="Calibri"/>
                <w:b/>
                <w:sz w:val="22"/>
                <w:szCs w:val="22"/>
              </w:rPr>
              <w:t xml:space="preserve">Calculer avec des nombres entiers, les nombres décimaux </w:t>
            </w:r>
          </w:p>
        </w:tc>
      </w:tr>
      <w:tr w:rsidR="007E01AE" w:rsidRPr="003F5F11" w:rsidTr="008C7D3B">
        <w:trPr>
          <w:trHeight w:val="1960"/>
        </w:trPr>
        <w:tc>
          <w:tcPr>
            <w:tcW w:w="709" w:type="dxa"/>
            <w:vMerge/>
          </w:tcPr>
          <w:p w:rsidR="007E01AE" w:rsidRDefault="007E01AE" w:rsidP="008C7D3B"/>
        </w:tc>
        <w:tc>
          <w:tcPr>
            <w:tcW w:w="4962" w:type="dxa"/>
            <w:gridSpan w:val="2"/>
            <w:tcBorders>
              <w:top w:val="single" w:sz="4" w:space="0" w:color="auto"/>
              <w:bottom w:val="single" w:sz="4" w:space="0" w:color="auto"/>
            </w:tcBorders>
            <w:vAlign w:val="center"/>
          </w:tcPr>
          <w:p w:rsidR="007E01AE" w:rsidRPr="00A01E8E" w:rsidRDefault="007E01AE" w:rsidP="008C7D3B">
            <w:pPr>
              <w:rPr>
                <w:rFonts w:cs="Calibri"/>
                <w:sz w:val="22"/>
                <w:szCs w:val="22"/>
              </w:rPr>
            </w:pPr>
          </w:p>
        </w:tc>
        <w:tc>
          <w:tcPr>
            <w:tcW w:w="5244" w:type="dxa"/>
            <w:gridSpan w:val="5"/>
            <w:tcBorders>
              <w:top w:val="single" w:sz="4" w:space="0" w:color="auto"/>
              <w:bottom w:val="single" w:sz="4" w:space="0" w:color="auto"/>
            </w:tcBorders>
            <w:vAlign w:val="center"/>
          </w:tcPr>
          <w:p w:rsidR="007E01AE" w:rsidRPr="00A01E8E" w:rsidRDefault="007E01AE" w:rsidP="008C7D3B">
            <w:pPr>
              <w:rPr>
                <w:rFonts w:cs="Calibri"/>
                <w:sz w:val="22"/>
                <w:szCs w:val="22"/>
              </w:rPr>
            </w:pPr>
            <w:r w:rsidRPr="00A01E8E">
              <w:rPr>
                <w:rFonts w:cs="Calibri"/>
                <w:sz w:val="22"/>
                <w:szCs w:val="22"/>
              </w:rPr>
              <w:t xml:space="preserve">Mémoriser des faits numériques et des procédures élémentaires de calcul. </w:t>
            </w:r>
          </w:p>
          <w:p w:rsidR="007E01AE" w:rsidRPr="00A01E8E" w:rsidRDefault="007E01AE" w:rsidP="008C7D3B">
            <w:pPr>
              <w:rPr>
                <w:rFonts w:cs="Calibri"/>
                <w:sz w:val="22"/>
                <w:szCs w:val="22"/>
              </w:rPr>
            </w:pPr>
            <w:r w:rsidRPr="00A01E8E">
              <w:rPr>
                <w:rFonts w:cs="Calibri"/>
                <w:sz w:val="22"/>
                <w:szCs w:val="22"/>
              </w:rPr>
              <w:t xml:space="preserve">Élaborer ou choisir des stratégies de calcul à l’oral et à l’écrit. </w:t>
            </w:r>
          </w:p>
          <w:p w:rsidR="007E01AE" w:rsidRPr="00A01E8E" w:rsidRDefault="007E01AE" w:rsidP="008C7D3B">
            <w:pPr>
              <w:rPr>
                <w:rFonts w:cs="Calibri"/>
                <w:sz w:val="22"/>
                <w:szCs w:val="22"/>
              </w:rPr>
            </w:pPr>
            <w:r w:rsidRPr="00A01E8E">
              <w:rPr>
                <w:rFonts w:cs="Calibri"/>
                <w:sz w:val="22"/>
                <w:szCs w:val="22"/>
              </w:rPr>
              <w:t xml:space="preserve">Vérifier la vraisemblance d’un résultat, notamment en estimant son ordre de grandeur. </w:t>
            </w:r>
          </w:p>
          <w:p w:rsidR="007E01AE" w:rsidRPr="00787EB2" w:rsidRDefault="007E01AE" w:rsidP="007E01AE">
            <w:pPr>
              <w:numPr>
                <w:ilvl w:val="0"/>
                <w:numId w:val="1"/>
              </w:numPr>
              <w:rPr>
                <w:rFonts w:cs="Calibri"/>
                <w:sz w:val="22"/>
                <w:szCs w:val="22"/>
              </w:rPr>
            </w:pPr>
            <w:r>
              <w:rPr>
                <w:rFonts w:cs="Calibri"/>
                <w:sz w:val="22"/>
                <w:szCs w:val="22"/>
              </w:rPr>
              <w:t>Addition, soustraction</w:t>
            </w:r>
          </w:p>
        </w:tc>
        <w:tc>
          <w:tcPr>
            <w:tcW w:w="4395" w:type="dxa"/>
            <w:tcBorders>
              <w:top w:val="single" w:sz="4" w:space="0" w:color="auto"/>
              <w:bottom w:val="single" w:sz="4" w:space="0" w:color="auto"/>
            </w:tcBorders>
            <w:vAlign w:val="center"/>
          </w:tcPr>
          <w:p w:rsidR="007E01AE" w:rsidRPr="00E81077" w:rsidRDefault="007E01AE" w:rsidP="008C7D3B">
            <w:pPr>
              <w:rPr>
                <w:rFonts w:cs="Calibri"/>
                <w:i/>
                <w:sz w:val="20"/>
                <w:szCs w:val="20"/>
              </w:rPr>
            </w:pPr>
            <w:r>
              <w:rPr>
                <w:rFonts w:cs="Calibri"/>
                <w:i/>
                <w:sz w:val="20"/>
                <w:szCs w:val="20"/>
              </w:rPr>
              <w:t>R</w:t>
            </w:r>
            <w:r w:rsidRPr="00E81077">
              <w:rPr>
                <w:rFonts w:cs="Calibri"/>
                <w:i/>
                <w:sz w:val="20"/>
                <w:szCs w:val="20"/>
              </w:rPr>
              <w:t xml:space="preserve">echercher le complément à l’unité, </w:t>
            </w:r>
          </w:p>
          <w:p w:rsidR="007E01AE" w:rsidRPr="00E81077" w:rsidRDefault="007E01AE" w:rsidP="008C7D3B">
            <w:pPr>
              <w:rPr>
                <w:rFonts w:cs="Calibri"/>
                <w:i/>
                <w:sz w:val="20"/>
                <w:szCs w:val="20"/>
              </w:rPr>
            </w:pPr>
            <w:r w:rsidRPr="00E81077">
              <w:rPr>
                <w:rFonts w:cs="Calibri"/>
                <w:i/>
                <w:sz w:val="20"/>
                <w:szCs w:val="20"/>
              </w:rPr>
              <w:t xml:space="preserve">- encadrer un nombre entre </w:t>
            </w:r>
            <w:proofErr w:type="gramStart"/>
            <w:r>
              <w:rPr>
                <w:rFonts w:cs="Calibri"/>
                <w:i/>
                <w:sz w:val="20"/>
                <w:szCs w:val="20"/>
              </w:rPr>
              <w:t xml:space="preserve">deux </w:t>
            </w:r>
            <w:r w:rsidRPr="00E81077">
              <w:rPr>
                <w:rFonts w:cs="Calibri"/>
                <w:i/>
                <w:sz w:val="20"/>
                <w:szCs w:val="20"/>
              </w:rPr>
              <w:t xml:space="preserve"> consécutifs</w:t>
            </w:r>
            <w:proofErr w:type="gramEnd"/>
            <w:r w:rsidRPr="00E81077">
              <w:rPr>
                <w:rFonts w:cs="Calibri"/>
                <w:i/>
                <w:sz w:val="20"/>
                <w:szCs w:val="20"/>
              </w:rPr>
              <w:t xml:space="preserve">, </w:t>
            </w:r>
          </w:p>
          <w:p w:rsidR="007E01AE" w:rsidRPr="00E81077" w:rsidRDefault="007E01AE" w:rsidP="008C7D3B">
            <w:pPr>
              <w:rPr>
                <w:rFonts w:cs="Calibri"/>
                <w:i/>
                <w:sz w:val="20"/>
                <w:szCs w:val="20"/>
              </w:rPr>
            </w:pPr>
            <w:r w:rsidRPr="00E81077">
              <w:rPr>
                <w:rFonts w:cs="Calibri"/>
                <w:i/>
                <w:sz w:val="20"/>
                <w:szCs w:val="20"/>
              </w:rPr>
              <w:t xml:space="preserve">- trouver un quotient, un reste, </w:t>
            </w:r>
          </w:p>
          <w:p w:rsidR="007E01AE" w:rsidRPr="00A01E8E" w:rsidRDefault="007E01AE" w:rsidP="008C7D3B">
            <w:pPr>
              <w:rPr>
                <w:rFonts w:cs="Calibri"/>
                <w:sz w:val="22"/>
                <w:szCs w:val="22"/>
              </w:rPr>
            </w:pPr>
            <w:r w:rsidRPr="00E81077">
              <w:rPr>
                <w:rFonts w:cs="Calibri"/>
                <w:i/>
                <w:sz w:val="20"/>
                <w:szCs w:val="20"/>
              </w:rPr>
              <w:t xml:space="preserve">- multiplier </w:t>
            </w:r>
            <w:r>
              <w:rPr>
                <w:rFonts w:cs="Calibri"/>
                <w:i/>
                <w:sz w:val="20"/>
                <w:szCs w:val="20"/>
              </w:rPr>
              <w:t>ou diviser par 2</w:t>
            </w:r>
            <w:r w:rsidRPr="00E81077">
              <w:rPr>
                <w:rFonts w:cs="Calibri"/>
                <w:i/>
                <w:sz w:val="20"/>
                <w:szCs w:val="20"/>
              </w:rPr>
              <w:t xml:space="preserve">, </w:t>
            </w:r>
            <w:r>
              <w:rPr>
                <w:rFonts w:cs="Calibri"/>
                <w:i/>
                <w:sz w:val="20"/>
                <w:szCs w:val="20"/>
              </w:rPr>
              <w:t>par 10, 100.</w:t>
            </w:r>
          </w:p>
        </w:tc>
      </w:tr>
      <w:tr w:rsidR="007E01AE" w:rsidRPr="003F5F11" w:rsidTr="008C7D3B">
        <w:trPr>
          <w:trHeight w:val="427"/>
        </w:trPr>
        <w:tc>
          <w:tcPr>
            <w:tcW w:w="709" w:type="dxa"/>
            <w:vMerge/>
          </w:tcPr>
          <w:p w:rsidR="007E01AE" w:rsidRDefault="007E01AE" w:rsidP="008C7D3B"/>
        </w:tc>
        <w:tc>
          <w:tcPr>
            <w:tcW w:w="14601" w:type="dxa"/>
            <w:gridSpan w:val="8"/>
            <w:tcBorders>
              <w:top w:val="single" w:sz="4" w:space="0" w:color="auto"/>
              <w:bottom w:val="single" w:sz="4" w:space="0" w:color="auto"/>
            </w:tcBorders>
            <w:shd w:val="clear" w:color="auto" w:fill="CCFFFF"/>
            <w:vAlign w:val="center"/>
          </w:tcPr>
          <w:p w:rsidR="007E01AE" w:rsidRPr="00CA6BF2" w:rsidRDefault="007E01AE" w:rsidP="008C7D3B">
            <w:pPr>
              <w:jc w:val="center"/>
              <w:rPr>
                <w:rFonts w:cs="Calibri"/>
                <w:sz w:val="22"/>
                <w:szCs w:val="22"/>
              </w:rPr>
            </w:pPr>
            <w:r w:rsidRPr="00CA6BF2">
              <w:rPr>
                <w:rFonts w:cs="Calibri"/>
                <w:b/>
                <w:sz w:val="20"/>
                <w:szCs w:val="20"/>
              </w:rPr>
              <w:t>Résoudre des problèmes</w:t>
            </w:r>
          </w:p>
        </w:tc>
      </w:tr>
      <w:tr w:rsidR="007E01AE" w:rsidRPr="003F5F11" w:rsidTr="008C7D3B">
        <w:trPr>
          <w:trHeight w:val="407"/>
        </w:trPr>
        <w:tc>
          <w:tcPr>
            <w:tcW w:w="709" w:type="dxa"/>
            <w:vMerge/>
          </w:tcPr>
          <w:p w:rsidR="007E01AE" w:rsidRDefault="007E01AE" w:rsidP="008C7D3B"/>
        </w:tc>
        <w:tc>
          <w:tcPr>
            <w:tcW w:w="14601" w:type="dxa"/>
            <w:gridSpan w:val="8"/>
            <w:tcBorders>
              <w:top w:val="nil"/>
              <w:bottom w:val="single" w:sz="4" w:space="0" w:color="auto"/>
            </w:tcBorders>
            <w:vAlign w:val="center"/>
          </w:tcPr>
          <w:p w:rsidR="007E01AE" w:rsidRPr="008F7E7D" w:rsidRDefault="007E01AE" w:rsidP="008C7D3B">
            <w:pPr>
              <w:jc w:val="right"/>
              <w:rPr>
                <w:rFonts w:cs="Calibri"/>
                <w:sz w:val="22"/>
                <w:szCs w:val="22"/>
              </w:rPr>
            </w:pPr>
            <w:r w:rsidRPr="008F7E7D">
              <w:rPr>
                <w:rFonts w:cs="Calibri"/>
                <w:sz w:val="22"/>
                <w:szCs w:val="22"/>
              </w:rPr>
              <w:t xml:space="preserve">Sens des opérations. Problèmes </w:t>
            </w:r>
            <w:proofErr w:type="gramStart"/>
            <w:r w:rsidRPr="008F7E7D">
              <w:rPr>
                <w:rFonts w:cs="Calibri"/>
                <w:sz w:val="22"/>
                <w:szCs w:val="22"/>
              </w:rPr>
              <w:t>relevant  des</w:t>
            </w:r>
            <w:proofErr w:type="gramEnd"/>
            <w:r w:rsidRPr="008F7E7D">
              <w:rPr>
                <w:rFonts w:cs="Calibri"/>
                <w:sz w:val="22"/>
                <w:szCs w:val="22"/>
              </w:rPr>
              <w:t xml:space="preserve"> structures additives ; des structures multiplicatives.</w:t>
            </w:r>
          </w:p>
        </w:tc>
      </w:tr>
      <w:tr w:rsidR="007E01AE" w:rsidRPr="003F5F11" w:rsidTr="008C7D3B">
        <w:trPr>
          <w:trHeight w:val="65"/>
        </w:trPr>
        <w:tc>
          <w:tcPr>
            <w:tcW w:w="709" w:type="dxa"/>
            <w:vMerge/>
          </w:tcPr>
          <w:p w:rsidR="007E01AE" w:rsidRDefault="007E01AE" w:rsidP="008C7D3B"/>
        </w:tc>
        <w:tc>
          <w:tcPr>
            <w:tcW w:w="14601" w:type="dxa"/>
            <w:gridSpan w:val="8"/>
            <w:tcBorders>
              <w:top w:val="nil"/>
              <w:bottom w:val="single" w:sz="4" w:space="0" w:color="auto"/>
            </w:tcBorders>
            <w:vAlign w:val="center"/>
          </w:tcPr>
          <w:p w:rsidR="007E01AE" w:rsidRPr="008F7E7D" w:rsidRDefault="007E01AE" w:rsidP="008C7D3B">
            <w:pPr>
              <w:rPr>
                <w:rFonts w:cs="Calibri"/>
                <w:b/>
                <w:sz w:val="22"/>
                <w:szCs w:val="22"/>
              </w:rPr>
            </w:pPr>
            <w:r w:rsidRPr="008F7E7D">
              <w:rPr>
                <w:rFonts w:cs="Calibri"/>
                <w:b/>
                <w:sz w:val="22"/>
                <w:szCs w:val="22"/>
              </w:rPr>
              <w:t>Organisation et gestion de données</w:t>
            </w:r>
          </w:p>
          <w:p w:rsidR="007E01AE" w:rsidRPr="008F7E7D" w:rsidRDefault="007E01AE" w:rsidP="008C7D3B">
            <w:pPr>
              <w:jc w:val="right"/>
              <w:rPr>
                <w:rFonts w:cs="Calibri"/>
                <w:sz w:val="22"/>
                <w:szCs w:val="22"/>
              </w:rPr>
            </w:pPr>
            <w:r w:rsidRPr="008F7E7D">
              <w:rPr>
                <w:rFonts w:cs="Calibri"/>
                <w:sz w:val="22"/>
                <w:szCs w:val="22"/>
              </w:rPr>
              <w:t xml:space="preserve">Prélever des données numériques à partir de supports variés. </w:t>
            </w:r>
            <w:r>
              <w:rPr>
                <w:rFonts w:cs="Calibri"/>
                <w:sz w:val="22"/>
                <w:szCs w:val="22"/>
              </w:rPr>
              <w:br/>
            </w:r>
            <w:r w:rsidRPr="008F7E7D">
              <w:rPr>
                <w:rFonts w:cs="Calibri"/>
                <w:sz w:val="22"/>
                <w:szCs w:val="22"/>
              </w:rPr>
              <w:t>Produire des tableaux, diagrammes et graphiques organisant des données numériques.</w:t>
            </w:r>
          </w:p>
          <w:p w:rsidR="007E01AE" w:rsidRPr="008F7E7D" w:rsidRDefault="007E01AE" w:rsidP="008C7D3B">
            <w:pPr>
              <w:jc w:val="right"/>
              <w:rPr>
                <w:rFonts w:cs="Calibri"/>
                <w:sz w:val="22"/>
                <w:szCs w:val="22"/>
              </w:rPr>
            </w:pPr>
            <w:r w:rsidRPr="008F7E7D">
              <w:rPr>
                <w:rFonts w:cs="Calibri"/>
                <w:sz w:val="22"/>
                <w:szCs w:val="22"/>
              </w:rPr>
              <w:t xml:space="preserve">Exploiter et communiquer des résultats de mesures. </w:t>
            </w:r>
          </w:p>
          <w:p w:rsidR="007E01AE" w:rsidRPr="008F7E7D" w:rsidRDefault="007E01AE" w:rsidP="008C7D3B">
            <w:pPr>
              <w:jc w:val="right"/>
              <w:rPr>
                <w:rFonts w:cs="Calibri"/>
                <w:sz w:val="22"/>
                <w:szCs w:val="22"/>
              </w:rPr>
            </w:pPr>
            <w:r w:rsidRPr="008F7E7D">
              <w:rPr>
                <w:rFonts w:cs="Calibri"/>
                <w:sz w:val="22"/>
                <w:szCs w:val="22"/>
              </w:rPr>
              <w:t>Représentations usuelles : tableaux (en deux ou plusieurs colonnes, à double entrée) ; diagrammes en bâtons, circulaires ou semi-circulaires ; graphiques cartésiens</w:t>
            </w:r>
          </w:p>
        </w:tc>
      </w:tr>
      <w:tr w:rsidR="007E01AE" w:rsidRPr="003F5F11" w:rsidTr="008C7D3B">
        <w:trPr>
          <w:trHeight w:val="472"/>
        </w:trPr>
        <w:tc>
          <w:tcPr>
            <w:tcW w:w="709" w:type="dxa"/>
            <w:vMerge/>
            <w:textDirection w:val="btLr"/>
            <w:vAlign w:val="center"/>
          </w:tcPr>
          <w:p w:rsidR="007E01AE" w:rsidRPr="000048EE" w:rsidRDefault="007E01AE" w:rsidP="008C7D3B">
            <w:pPr>
              <w:rPr>
                <w:rFonts w:cs="Calibri"/>
                <w:b/>
                <w:color w:val="31849B"/>
                <w:shd w:val="clear" w:color="auto" w:fill="FFFFFF"/>
              </w:rPr>
            </w:pPr>
          </w:p>
        </w:tc>
        <w:tc>
          <w:tcPr>
            <w:tcW w:w="4962" w:type="dxa"/>
            <w:gridSpan w:val="2"/>
            <w:tcBorders>
              <w:bottom w:val="single" w:sz="4" w:space="0" w:color="auto"/>
            </w:tcBorders>
            <w:shd w:val="clear" w:color="auto" w:fill="99CCFF"/>
            <w:vAlign w:val="center"/>
          </w:tcPr>
          <w:p w:rsidR="007E01AE" w:rsidRPr="00A01E8E" w:rsidRDefault="007E01AE" w:rsidP="008C7D3B">
            <w:pPr>
              <w:jc w:val="center"/>
              <w:rPr>
                <w:rFonts w:cs="Calibri"/>
                <w:b/>
                <w:color w:val="FFFFFF" w:themeColor="background1"/>
              </w:rPr>
            </w:pPr>
            <w:r w:rsidRPr="00A01E8E">
              <w:rPr>
                <w:rFonts w:cs="Calibri"/>
              </w:rPr>
              <w:t xml:space="preserve">Les </w:t>
            </w:r>
            <w:r>
              <w:rPr>
                <w:rFonts w:cs="Calibri"/>
              </w:rPr>
              <w:t>fractions</w:t>
            </w:r>
          </w:p>
        </w:tc>
        <w:tc>
          <w:tcPr>
            <w:tcW w:w="3401" w:type="dxa"/>
            <w:tcBorders>
              <w:bottom w:val="single" w:sz="4" w:space="0" w:color="auto"/>
              <w:right w:val="nil"/>
            </w:tcBorders>
            <w:shd w:val="clear" w:color="auto" w:fill="auto"/>
            <w:vAlign w:val="center"/>
          </w:tcPr>
          <w:p w:rsidR="007E01AE" w:rsidRPr="00426D97" w:rsidRDefault="007E01AE" w:rsidP="008C7D3B">
            <w:pPr>
              <w:jc w:val="center"/>
              <w:rPr>
                <w:rFonts w:cs="Calibri"/>
                <w:b/>
                <w:color w:val="FFFFFF" w:themeColor="background1"/>
                <w:sz w:val="22"/>
                <w:szCs w:val="22"/>
              </w:rPr>
            </w:pPr>
          </w:p>
        </w:tc>
        <w:tc>
          <w:tcPr>
            <w:tcW w:w="6238" w:type="dxa"/>
            <w:gridSpan w:val="5"/>
            <w:tcBorders>
              <w:left w:val="nil"/>
              <w:bottom w:val="single" w:sz="4" w:space="0" w:color="auto"/>
            </w:tcBorders>
            <w:shd w:val="clear" w:color="auto" w:fill="auto"/>
            <w:vAlign w:val="center"/>
          </w:tcPr>
          <w:p w:rsidR="007E01AE" w:rsidRPr="00426D97" w:rsidRDefault="007E01AE" w:rsidP="008C7D3B">
            <w:pPr>
              <w:jc w:val="center"/>
              <w:rPr>
                <w:rFonts w:cs="Calibri"/>
                <w:b/>
                <w:color w:val="FFFFFF" w:themeColor="background1"/>
                <w:sz w:val="22"/>
                <w:szCs w:val="22"/>
              </w:rPr>
            </w:pPr>
          </w:p>
        </w:tc>
      </w:tr>
      <w:tr w:rsidR="007E01AE" w:rsidRPr="003F5F11" w:rsidTr="008C7D3B">
        <w:trPr>
          <w:trHeight w:val="502"/>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CCFFFF"/>
            <w:vAlign w:val="center"/>
          </w:tcPr>
          <w:p w:rsidR="007E01AE" w:rsidRPr="00CA6BF2" w:rsidRDefault="007E01AE" w:rsidP="008C7D3B">
            <w:pPr>
              <w:jc w:val="center"/>
              <w:rPr>
                <w:rFonts w:cs="Calibri"/>
                <w:b/>
                <w:sz w:val="22"/>
                <w:szCs w:val="22"/>
              </w:rPr>
            </w:pPr>
            <w:r w:rsidRPr="00CA6BF2">
              <w:rPr>
                <w:rFonts w:cs="Calibri"/>
                <w:b/>
                <w:sz w:val="22"/>
                <w:szCs w:val="22"/>
              </w:rPr>
              <w:t>Utiliser et représenter les grands nombres entiers, les nombres décimaux, les fractions</w:t>
            </w:r>
          </w:p>
        </w:tc>
      </w:tr>
      <w:tr w:rsidR="007E01AE" w:rsidRPr="003F5F11" w:rsidTr="008C7D3B">
        <w:trPr>
          <w:trHeight w:val="528"/>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nil"/>
            </w:tcBorders>
            <w:shd w:val="clear" w:color="auto" w:fill="auto"/>
            <w:vAlign w:val="center"/>
          </w:tcPr>
          <w:p w:rsidR="007E01AE" w:rsidRPr="005858E1" w:rsidRDefault="007E01AE" w:rsidP="008C7D3B">
            <w:pPr>
              <w:rPr>
                <w:rFonts w:cs="Calibri"/>
                <w:sz w:val="22"/>
                <w:szCs w:val="22"/>
              </w:rPr>
            </w:pPr>
            <w:r w:rsidRPr="005858E1">
              <w:rPr>
                <w:rFonts w:cs="Calibri"/>
                <w:sz w:val="22"/>
                <w:szCs w:val="22"/>
              </w:rPr>
              <w:t>Comprendre et utiliser la notion de fractions simples. Écritures fractionnaires. Diverses désignations des fractions (orales, écrites et décompositions). Exprimer un quotient.</w:t>
            </w:r>
          </w:p>
        </w:tc>
      </w:tr>
      <w:tr w:rsidR="007E01AE" w:rsidRPr="003F5F11" w:rsidTr="008C7D3B">
        <w:trPr>
          <w:trHeight w:val="505"/>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top w:val="nil"/>
              <w:bottom w:val="nil"/>
            </w:tcBorders>
            <w:shd w:val="clear" w:color="auto" w:fill="auto"/>
            <w:vAlign w:val="center"/>
          </w:tcPr>
          <w:p w:rsidR="007E01AE" w:rsidRPr="005858E1" w:rsidRDefault="007E01AE" w:rsidP="008C7D3B">
            <w:pPr>
              <w:rPr>
                <w:rFonts w:cs="Calibri"/>
                <w:sz w:val="22"/>
                <w:szCs w:val="22"/>
              </w:rPr>
            </w:pPr>
            <w:r w:rsidRPr="005858E1">
              <w:rPr>
                <w:rFonts w:cs="Calibri"/>
                <w:sz w:val="22"/>
                <w:szCs w:val="22"/>
              </w:rPr>
              <w:t xml:space="preserve">Rendre compte de partage de grandeurs ou de mesure de grandeurs dans des cas simples ; </w:t>
            </w:r>
          </w:p>
          <w:p w:rsidR="007E01AE" w:rsidRPr="005858E1" w:rsidRDefault="007E01AE" w:rsidP="008C7D3B">
            <w:pPr>
              <w:rPr>
                <w:rFonts w:cs="Calibri"/>
                <w:sz w:val="22"/>
                <w:szCs w:val="22"/>
              </w:rPr>
            </w:pPr>
            <w:r w:rsidRPr="005858E1">
              <w:rPr>
                <w:rFonts w:cs="Calibri"/>
                <w:sz w:val="22"/>
                <w:szCs w:val="22"/>
              </w:rPr>
              <w:t>Situation permettant de relier les formulations la moitié, le tiers, le quart et 1/2 de, 1/3 de, 1/4 d’une quantité, etc. (fractions vues comme opérateurs).</w:t>
            </w:r>
          </w:p>
        </w:tc>
      </w:tr>
      <w:tr w:rsidR="007E01AE" w:rsidRPr="003F5F11" w:rsidTr="008C7D3B">
        <w:trPr>
          <w:trHeight w:val="505"/>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252" w:type="dxa"/>
            <w:tcBorders>
              <w:top w:val="nil"/>
              <w:bottom w:val="nil"/>
              <w:right w:val="nil"/>
            </w:tcBorders>
            <w:shd w:val="clear" w:color="auto" w:fill="auto"/>
            <w:vAlign w:val="center"/>
          </w:tcPr>
          <w:p w:rsidR="007E01AE" w:rsidRPr="005858E1" w:rsidRDefault="007E01AE" w:rsidP="008C7D3B">
            <w:pPr>
              <w:rPr>
                <w:rFonts w:cs="Calibri"/>
                <w:sz w:val="22"/>
                <w:szCs w:val="22"/>
              </w:rPr>
            </w:pPr>
          </w:p>
        </w:tc>
        <w:tc>
          <w:tcPr>
            <w:tcW w:w="10349" w:type="dxa"/>
            <w:gridSpan w:val="7"/>
            <w:tcBorders>
              <w:top w:val="nil"/>
              <w:left w:val="nil"/>
              <w:bottom w:val="nil"/>
            </w:tcBorders>
            <w:shd w:val="clear" w:color="auto" w:fill="auto"/>
            <w:vAlign w:val="center"/>
          </w:tcPr>
          <w:p w:rsidR="007E01AE" w:rsidRPr="005858E1" w:rsidRDefault="007E01AE" w:rsidP="008C7D3B">
            <w:pPr>
              <w:rPr>
                <w:rFonts w:cs="Calibri"/>
                <w:sz w:val="22"/>
                <w:szCs w:val="22"/>
              </w:rPr>
            </w:pPr>
            <w:r w:rsidRPr="005858E1">
              <w:rPr>
                <w:rFonts w:cs="Calibri"/>
                <w:sz w:val="22"/>
                <w:szCs w:val="22"/>
              </w:rPr>
              <w:t>Repérer et placer des fractions sur une demi-droite graduée adaptée.</w:t>
            </w:r>
          </w:p>
          <w:p w:rsidR="007E01AE" w:rsidRPr="005858E1" w:rsidRDefault="007E01AE" w:rsidP="008C7D3B">
            <w:pPr>
              <w:rPr>
                <w:rFonts w:cs="Calibri"/>
                <w:sz w:val="22"/>
                <w:szCs w:val="22"/>
              </w:rPr>
            </w:pPr>
            <w:r w:rsidRPr="005858E1">
              <w:rPr>
                <w:rFonts w:cs="Calibri"/>
                <w:sz w:val="22"/>
                <w:szCs w:val="22"/>
              </w:rPr>
              <w:t>Encadrer une fraction par deux nombres entiers consécutifs.</w:t>
            </w:r>
          </w:p>
          <w:p w:rsidR="007E01AE" w:rsidRPr="005858E1" w:rsidRDefault="007E01AE" w:rsidP="008C7D3B">
            <w:pPr>
              <w:rPr>
                <w:rFonts w:cs="Calibri"/>
                <w:sz w:val="22"/>
                <w:szCs w:val="22"/>
              </w:rPr>
            </w:pPr>
            <w:r w:rsidRPr="005858E1">
              <w:rPr>
                <w:sz w:val="22"/>
                <w:szCs w:val="22"/>
              </w:rPr>
              <w:t>Écrire une fraction sous forme de somme d’un entier et d’une fraction inférieure à 1.</w:t>
            </w:r>
          </w:p>
        </w:tc>
      </w:tr>
      <w:tr w:rsidR="007E01AE" w:rsidRPr="003F5F11" w:rsidTr="008C7D3B">
        <w:trPr>
          <w:trHeight w:val="505"/>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4252" w:type="dxa"/>
            <w:tcBorders>
              <w:top w:val="nil"/>
              <w:bottom w:val="single" w:sz="4" w:space="0" w:color="auto"/>
              <w:right w:val="nil"/>
            </w:tcBorders>
            <w:shd w:val="clear" w:color="auto" w:fill="auto"/>
            <w:vAlign w:val="center"/>
          </w:tcPr>
          <w:p w:rsidR="007E01AE" w:rsidRPr="005858E1" w:rsidRDefault="007E01AE" w:rsidP="008C7D3B">
            <w:pPr>
              <w:rPr>
                <w:rFonts w:cs="Calibri"/>
                <w:sz w:val="22"/>
                <w:szCs w:val="22"/>
              </w:rPr>
            </w:pPr>
          </w:p>
        </w:tc>
        <w:tc>
          <w:tcPr>
            <w:tcW w:w="4394" w:type="dxa"/>
            <w:gridSpan w:val="3"/>
            <w:tcBorders>
              <w:top w:val="nil"/>
              <w:left w:val="nil"/>
              <w:bottom w:val="single" w:sz="4" w:space="0" w:color="auto"/>
              <w:right w:val="nil"/>
            </w:tcBorders>
            <w:shd w:val="clear" w:color="auto" w:fill="auto"/>
            <w:vAlign w:val="center"/>
          </w:tcPr>
          <w:p w:rsidR="007E01AE" w:rsidRPr="005858E1" w:rsidRDefault="007E01AE" w:rsidP="008C7D3B">
            <w:pPr>
              <w:rPr>
                <w:rFonts w:cs="Calibri"/>
                <w:sz w:val="22"/>
                <w:szCs w:val="22"/>
              </w:rPr>
            </w:pPr>
          </w:p>
        </w:tc>
        <w:tc>
          <w:tcPr>
            <w:tcW w:w="5955" w:type="dxa"/>
            <w:gridSpan w:val="4"/>
            <w:tcBorders>
              <w:top w:val="nil"/>
              <w:left w:val="nil"/>
              <w:bottom w:val="single" w:sz="4" w:space="0" w:color="auto"/>
            </w:tcBorders>
            <w:shd w:val="clear" w:color="auto" w:fill="auto"/>
            <w:vAlign w:val="center"/>
          </w:tcPr>
          <w:p w:rsidR="007E01AE" w:rsidRPr="005858E1" w:rsidRDefault="007E01AE" w:rsidP="008C7D3B">
            <w:pPr>
              <w:rPr>
                <w:rFonts w:cs="Calibri"/>
                <w:sz w:val="22"/>
                <w:szCs w:val="22"/>
              </w:rPr>
            </w:pPr>
            <w:r w:rsidRPr="005858E1">
              <w:rPr>
                <w:rFonts w:cs="Calibri"/>
                <w:sz w:val="22"/>
                <w:szCs w:val="22"/>
              </w:rPr>
              <w:t xml:space="preserve">Établir des égalités entre des fractions </w:t>
            </w:r>
            <w:proofErr w:type="gramStart"/>
            <w:r w:rsidRPr="005858E1">
              <w:rPr>
                <w:rFonts w:cs="Calibri"/>
                <w:sz w:val="22"/>
                <w:szCs w:val="22"/>
              </w:rPr>
              <w:t>simples .</w:t>
            </w:r>
            <w:proofErr w:type="gramEnd"/>
            <w:r w:rsidRPr="005858E1">
              <w:rPr>
                <w:rFonts w:cs="Calibri"/>
                <w:sz w:val="22"/>
                <w:szCs w:val="22"/>
              </w:rPr>
              <w:t xml:space="preserve"> Par exemple, en utilisant une demi-droite graduée, les élèves établissent que 5/10 = 1/2, que 10/100 = 1/10, etc.</w:t>
            </w:r>
          </w:p>
        </w:tc>
      </w:tr>
      <w:tr w:rsidR="007E01AE" w:rsidRPr="003F5F11" w:rsidTr="008C7D3B">
        <w:trPr>
          <w:trHeight w:val="527"/>
        </w:trPr>
        <w:tc>
          <w:tcPr>
            <w:tcW w:w="709" w:type="dxa"/>
            <w:vMerge/>
            <w:textDirection w:val="btLr"/>
            <w:vAlign w:val="center"/>
          </w:tcPr>
          <w:p w:rsidR="007E01AE" w:rsidRPr="000048EE" w:rsidRDefault="007E01AE" w:rsidP="008C7D3B">
            <w:pPr>
              <w:ind w:left="113" w:right="113"/>
              <w:jc w:val="center"/>
              <w:rPr>
                <w:rFonts w:cs="Calibri"/>
                <w:b/>
                <w:color w:val="31849B"/>
                <w:shd w:val="clear" w:color="auto" w:fill="FFFFFF"/>
              </w:rPr>
            </w:pPr>
          </w:p>
        </w:tc>
        <w:tc>
          <w:tcPr>
            <w:tcW w:w="14601" w:type="dxa"/>
            <w:gridSpan w:val="8"/>
            <w:tcBorders>
              <w:bottom w:val="single" w:sz="4" w:space="0" w:color="auto"/>
            </w:tcBorders>
            <w:shd w:val="clear" w:color="auto" w:fill="CCFFFF"/>
            <w:vAlign w:val="center"/>
          </w:tcPr>
          <w:p w:rsidR="007E01AE" w:rsidRPr="00CA6BF2" w:rsidRDefault="007E01AE" w:rsidP="008C7D3B">
            <w:pPr>
              <w:jc w:val="center"/>
              <w:rPr>
                <w:rFonts w:cs="Calibri"/>
                <w:b/>
                <w:sz w:val="22"/>
                <w:szCs w:val="22"/>
              </w:rPr>
            </w:pPr>
            <w:r w:rsidRPr="00CA6BF2">
              <w:rPr>
                <w:rFonts w:cs="Calibri"/>
                <w:b/>
                <w:sz w:val="22"/>
                <w:szCs w:val="22"/>
              </w:rPr>
              <w:t xml:space="preserve">Calculer avec des nombres entiers, les nombres </w:t>
            </w:r>
            <w:proofErr w:type="gramStart"/>
            <w:r w:rsidRPr="00CA6BF2">
              <w:rPr>
                <w:rFonts w:cs="Calibri"/>
                <w:b/>
                <w:sz w:val="22"/>
                <w:szCs w:val="22"/>
              </w:rPr>
              <w:t>décimaux ,</w:t>
            </w:r>
            <w:proofErr w:type="gramEnd"/>
            <w:r w:rsidRPr="00CA6BF2">
              <w:rPr>
                <w:rFonts w:cs="Calibri"/>
                <w:b/>
                <w:sz w:val="22"/>
                <w:szCs w:val="22"/>
              </w:rPr>
              <w:t xml:space="preserve"> les fractions</w:t>
            </w:r>
          </w:p>
        </w:tc>
      </w:tr>
      <w:tr w:rsidR="007E01AE" w:rsidRPr="003F5F11" w:rsidTr="008C7D3B">
        <w:trPr>
          <w:trHeight w:val="974"/>
        </w:trPr>
        <w:tc>
          <w:tcPr>
            <w:tcW w:w="709" w:type="dxa"/>
            <w:vMerge/>
          </w:tcPr>
          <w:p w:rsidR="007E01AE" w:rsidRDefault="007E01AE" w:rsidP="008C7D3B"/>
        </w:tc>
        <w:tc>
          <w:tcPr>
            <w:tcW w:w="4962" w:type="dxa"/>
            <w:gridSpan w:val="2"/>
            <w:tcBorders>
              <w:top w:val="single" w:sz="4" w:space="0" w:color="auto"/>
              <w:bottom w:val="single" w:sz="4" w:space="0" w:color="auto"/>
            </w:tcBorders>
            <w:vAlign w:val="center"/>
          </w:tcPr>
          <w:p w:rsidR="007E01AE" w:rsidRPr="00A01E8E" w:rsidRDefault="007E01AE" w:rsidP="008C7D3B">
            <w:pPr>
              <w:rPr>
                <w:rFonts w:cs="Calibri"/>
                <w:sz w:val="22"/>
                <w:szCs w:val="22"/>
              </w:rPr>
            </w:pPr>
          </w:p>
        </w:tc>
        <w:tc>
          <w:tcPr>
            <w:tcW w:w="3779" w:type="dxa"/>
            <w:gridSpan w:val="3"/>
            <w:tcBorders>
              <w:top w:val="single" w:sz="4" w:space="0" w:color="auto"/>
              <w:bottom w:val="single" w:sz="4" w:space="0" w:color="auto"/>
            </w:tcBorders>
            <w:vAlign w:val="center"/>
          </w:tcPr>
          <w:p w:rsidR="007E01AE" w:rsidRPr="009A390C" w:rsidRDefault="007E01AE" w:rsidP="008C7D3B">
            <w:pPr>
              <w:rPr>
                <w:rFonts w:cs="Calibri"/>
                <w:sz w:val="22"/>
                <w:szCs w:val="22"/>
              </w:rPr>
            </w:pPr>
            <w:r w:rsidRPr="009A390C">
              <w:rPr>
                <w:rFonts w:cs="Calibri"/>
                <w:sz w:val="22"/>
                <w:szCs w:val="22"/>
              </w:rPr>
              <w:t xml:space="preserve">Calculer la moitié </w:t>
            </w:r>
            <w:proofErr w:type="gramStart"/>
            <w:r w:rsidRPr="009A390C">
              <w:rPr>
                <w:rFonts w:cs="Calibri"/>
                <w:sz w:val="22"/>
                <w:szCs w:val="22"/>
              </w:rPr>
              <w:t>de ,</w:t>
            </w:r>
            <w:proofErr w:type="gramEnd"/>
            <w:r w:rsidRPr="009A390C">
              <w:rPr>
                <w:rFonts w:cs="Calibri"/>
                <w:sz w:val="22"/>
                <w:szCs w:val="22"/>
              </w:rPr>
              <w:t xml:space="preserve"> le quart de , les 2/3 de ……</w:t>
            </w:r>
          </w:p>
          <w:p w:rsidR="007E01AE" w:rsidRPr="009A390C" w:rsidRDefault="007E01AE" w:rsidP="008C7D3B">
            <w:pPr>
              <w:rPr>
                <w:rFonts w:cs="Calibri"/>
                <w:i/>
                <w:sz w:val="20"/>
                <w:szCs w:val="20"/>
              </w:rPr>
            </w:pPr>
            <w:r w:rsidRPr="009A390C">
              <w:rPr>
                <w:rFonts w:cs="Calibri"/>
                <w:sz w:val="22"/>
                <w:szCs w:val="22"/>
              </w:rPr>
              <w:t>Rechercher le complément à l’unité</w:t>
            </w:r>
            <w:r>
              <w:rPr>
                <w:rFonts w:cs="Calibri"/>
                <w:sz w:val="22"/>
                <w:szCs w:val="22"/>
              </w:rPr>
              <w:t>.</w:t>
            </w:r>
          </w:p>
        </w:tc>
        <w:tc>
          <w:tcPr>
            <w:tcW w:w="5860" w:type="dxa"/>
            <w:gridSpan w:val="3"/>
            <w:tcBorders>
              <w:top w:val="single" w:sz="4" w:space="0" w:color="auto"/>
              <w:bottom w:val="single" w:sz="4" w:space="0" w:color="auto"/>
            </w:tcBorders>
            <w:vAlign w:val="center"/>
          </w:tcPr>
          <w:p w:rsidR="007E01AE" w:rsidRDefault="007E01AE" w:rsidP="008C7D3B">
            <w:pPr>
              <w:rPr>
                <w:rFonts w:cs="Calibri"/>
                <w:sz w:val="22"/>
                <w:szCs w:val="22"/>
              </w:rPr>
            </w:pPr>
            <w:r>
              <w:rPr>
                <w:rFonts w:cs="Calibri"/>
                <w:sz w:val="22"/>
                <w:szCs w:val="22"/>
              </w:rPr>
              <w:t xml:space="preserve">Additionner des fractions de </w:t>
            </w:r>
            <w:proofErr w:type="gramStart"/>
            <w:r>
              <w:rPr>
                <w:rFonts w:cs="Calibri"/>
                <w:sz w:val="22"/>
                <w:szCs w:val="22"/>
              </w:rPr>
              <w:t>même dénominateurs</w:t>
            </w:r>
            <w:proofErr w:type="gramEnd"/>
            <w:r>
              <w:rPr>
                <w:rFonts w:cs="Calibri"/>
                <w:sz w:val="22"/>
                <w:szCs w:val="22"/>
              </w:rPr>
              <w:t xml:space="preserve">. </w:t>
            </w:r>
          </w:p>
          <w:p w:rsidR="007E01AE" w:rsidRPr="009A390C" w:rsidRDefault="007E01AE" w:rsidP="008C7D3B">
            <w:pPr>
              <w:rPr>
                <w:rFonts w:cs="Calibri"/>
                <w:sz w:val="22"/>
                <w:szCs w:val="22"/>
              </w:rPr>
            </w:pPr>
            <w:r>
              <w:rPr>
                <w:rFonts w:cs="Calibri"/>
                <w:sz w:val="22"/>
                <w:szCs w:val="22"/>
              </w:rPr>
              <w:t xml:space="preserve">Comprendre que 3/2 = ½ + ½ + </w:t>
            </w:r>
            <w:proofErr w:type="gramStart"/>
            <w:r>
              <w:rPr>
                <w:rFonts w:cs="Calibri"/>
                <w:sz w:val="22"/>
                <w:szCs w:val="22"/>
              </w:rPr>
              <w:t>½  =</w:t>
            </w:r>
            <w:proofErr w:type="gramEnd"/>
            <w:r>
              <w:rPr>
                <w:rFonts w:cs="Calibri"/>
                <w:sz w:val="22"/>
                <w:szCs w:val="22"/>
              </w:rPr>
              <w:t xml:space="preserve"> 3 x ½ </w:t>
            </w:r>
          </w:p>
        </w:tc>
      </w:tr>
      <w:tr w:rsidR="007E01AE" w:rsidRPr="003F5F11" w:rsidTr="008C7D3B">
        <w:trPr>
          <w:trHeight w:val="487"/>
        </w:trPr>
        <w:tc>
          <w:tcPr>
            <w:tcW w:w="709" w:type="dxa"/>
            <w:vMerge/>
          </w:tcPr>
          <w:p w:rsidR="007E01AE" w:rsidRDefault="007E01AE" w:rsidP="008C7D3B"/>
        </w:tc>
        <w:tc>
          <w:tcPr>
            <w:tcW w:w="14601" w:type="dxa"/>
            <w:gridSpan w:val="8"/>
            <w:tcBorders>
              <w:top w:val="single" w:sz="4" w:space="0" w:color="auto"/>
              <w:bottom w:val="single" w:sz="4" w:space="0" w:color="auto"/>
            </w:tcBorders>
            <w:shd w:val="clear" w:color="auto" w:fill="CCFFFF"/>
            <w:vAlign w:val="center"/>
          </w:tcPr>
          <w:p w:rsidR="007E01AE" w:rsidRPr="00CA6BF2" w:rsidRDefault="007E01AE" w:rsidP="008C7D3B">
            <w:pPr>
              <w:jc w:val="center"/>
              <w:rPr>
                <w:rFonts w:cs="Calibri"/>
                <w:sz w:val="22"/>
                <w:szCs w:val="22"/>
              </w:rPr>
            </w:pPr>
            <w:r w:rsidRPr="00CA6BF2">
              <w:rPr>
                <w:rFonts w:cs="Calibri"/>
                <w:b/>
                <w:sz w:val="22"/>
                <w:szCs w:val="22"/>
              </w:rPr>
              <w:t>Résoudre des problèmes</w:t>
            </w:r>
          </w:p>
        </w:tc>
      </w:tr>
      <w:tr w:rsidR="007E01AE" w:rsidRPr="003F5F11" w:rsidTr="008C7D3B">
        <w:trPr>
          <w:trHeight w:val="485"/>
        </w:trPr>
        <w:tc>
          <w:tcPr>
            <w:tcW w:w="709" w:type="dxa"/>
            <w:vMerge/>
          </w:tcPr>
          <w:p w:rsidR="007E01AE" w:rsidRDefault="007E01AE" w:rsidP="008C7D3B"/>
        </w:tc>
        <w:tc>
          <w:tcPr>
            <w:tcW w:w="14601" w:type="dxa"/>
            <w:gridSpan w:val="8"/>
            <w:tcBorders>
              <w:top w:val="nil"/>
              <w:bottom w:val="single" w:sz="4" w:space="0" w:color="auto"/>
            </w:tcBorders>
            <w:vAlign w:val="center"/>
          </w:tcPr>
          <w:p w:rsidR="007E01AE" w:rsidRPr="00520851" w:rsidRDefault="007E01AE" w:rsidP="008C7D3B">
            <w:pPr>
              <w:jc w:val="right"/>
              <w:rPr>
                <w:rFonts w:cs="Calibri"/>
                <w:sz w:val="22"/>
                <w:szCs w:val="22"/>
              </w:rPr>
            </w:pPr>
            <w:r w:rsidRPr="00520851">
              <w:rPr>
                <w:rFonts w:cs="Calibri"/>
                <w:sz w:val="22"/>
                <w:szCs w:val="22"/>
              </w:rPr>
              <w:t xml:space="preserve">Problèmes relevant du calcul de la moitié de, le tiers </w:t>
            </w:r>
            <w:proofErr w:type="gramStart"/>
            <w:r w:rsidRPr="00520851">
              <w:rPr>
                <w:rFonts w:cs="Calibri"/>
                <w:sz w:val="22"/>
                <w:szCs w:val="22"/>
              </w:rPr>
              <w:t>de, ….</w:t>
            </w:r>
            <w:proofErr w:type="gramEnd"/>
            <w:r w:rsidRPr="00520851">
              <w:rPr>
                <w:rFonts w:cs="Calibri"/>
                <w:sz w:val="22"/>
                <w:szCs w:val="22"/>
              </w:rPr>
              <w:t>.</w:t>
            </w:r>
          </w:p>
        </w:tc>
      </w:tr>
      <w:tr w:rsidR="007E01AE" w:rsidRPr="003F5F11" w:rsidTr="008C7D3B">
        <w:trPr>
          <w:trHeight w:val="65"/>
        </w:trPr>
        <w:tc>
          <w:tcPr>
            <w:tcW w:w="709" w:type="dxa"/>
            <w:vMerge/>
          </w:tcPr>
          <w:p w:rsidR="007E01AE" w:rsidRDefault="007E01AE" w:rsidP="008C7D3B"/>
        </w:tc>
        <w:tc>
          <w:tcPr>
            <w:tcW w:w="14601" w:type="dxa"/>
            <w:gridSpan w:val="8"/>
            <w:tcBorders>
              <w:top w:val="nil"/>
              <w:bottom w:val="single" w:sz="4" w:space="0" w:color="auto"/>
            </w:tcBorders>
            <w:vAlign w:val="center"/>
          </w:tcPr>
          <w:p w:rsidR="007E01AE" w:rsidRPr="00520851" w:rsidRDefault="007E01AE" w:rsidP="008C7D3B">
            <w:pPr>
              <w:rPr>
                <w:rFonts w:cs="Calibri"/>
                <w:b/>
                <w:sz w:val="22"/>
                <w:szCs w:val="22"/>
              </w:rPr>
            </w:pPr>
            <w:r w:rsidRPr="00520851">
              <w:rPr>
                <w:rFonts w:cs="Calibri"/>
                <w:b/>
                <w:sz w:val="22"/>
                <w:szCs w:val="22"/>
              </w:rPr>
              <w:t>Organisation et gestion de données</w:t>
            </w:r>
          </w:p>
          <w:p w:rsidR="007E01AE" w:rsidRPr="00520851" w:rsidRDefault="007E01AE" w:rsidP="008C7D3B">
            <w:pPr>
              <w:jc w:val="right"/>
              <w:rPr>
                <w:rFonts w:cs="Calibri"/>
                <w:sz w:val="22"/>
                <w:szCs w:val="22"/>
              </w:rPr>
            </w:pPr>
          </w:p>
        </w:tc>
      </w:tr>
    </w:tbl>
    <w:p w:rsidR="00207803" w:rsidRDefault="00207803">
      <w:bookmarkStart w:id="0" w:name="_GoBack"/>
      <w:bookmarkEnd w:id="0"/>
    </w:p>
    <w:sectPr w:rsidR="00207803" w:rsidSect="007E01AE">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37513"/>
    <w:multiLevelType w:val="hybridMultilevel"/>
    <w:tmpl w:val="8C8A0F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E9318D"/>
    <w:multiLevelType w:val="hybridMultilevel"/>
    <w:tmpl w:val="2DFA51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AE"/>
    <w:rsid w:val="00207803"/>
    <w:rsid w:val="007E01AE"/>
    <w:rsid w:val="00BF6A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5F914-D0F4-B24C-BDEB-DB025F82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1AE"/>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1AE"/>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7E01AE"/>
    <w:pPr>
      <w:numPr>
        <w:ilvl w:val="1"/>
      </w:numPr>
    </w:pPr>
    <w:rPr>
      <w:rFonts w:asciiTheme="majorHAnsi" w:eastAsiaTheme="majorEastAsia" w:hAnsiTheme="majorHAnsi" w:cstheme="majorBidi"/>
      <w:i/>
      <w:iCs/>
      <w:color w:val="4472C4" w:themeColor="accent1"/>
      <w:spacing w:val="15"/>
    </w:rPr>
  </w:style>
  <w:style w:type="character" w:customStyle="1" w:styleId="Sous-titreCar">
    <w:name w:val="Sous-titre Car"/>
    <w:basedOn w:val="Policepardfaut"/>
    <w:link w:val="Sous-titre"/>
    <w:uiPriority w:val="11"/>
    <w:rsid w:val="007E01AE"/>
    <w:rPr>
      <w:rFonts w:asciiTheme="majorHAnsi" w:eastAsiaTheme="majorEastAsia" w:hAnsiTheme="majorHAnsi" w:cstheme="majorBidi"/>
      <w:i/>
      <w:iCs/>
      <w:color w:val="4472C4" w:themeColor="accent1"/>
      <w:spacing w:val="15"/>
      <w:lang w:eastAsia="fr-FR"/>
    </w:rPr>
  </w:style>
  <w:style w:type="character" w:styleId="Accentuationlgre">
    <w:name w:val="Subtle Emphasis"/>
    <w:basedOn w:val="Policepardfaut"/>
    <w:uiPriority w:val="19"/>
    <w:qFormat/>
    <w:rsid w:val="007E01A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5161</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2020-05-09T19:44:00Z</dcterms:created>
  <dcterms:modified xsi:type="dcterms:W3CDTF">2020-05-09T19:45:00Z</dcterms:modified>
</cp:coreProperties>
</file>